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51FC5" w14:textId="77777777" w:rsidR="00FE6C6E" w:rsidRPr="007D4E7F" w:rsidRDefault="00201EFA" w:rsidP="00FE6C6E">
      <w:pPr>
        <w:keepNext/>
        <w:keepLines/>
        <w:spacing w:before="240" w:after="0" w:line="240" w:lineRule="auto"/>
        <w:jc w:val="center"/>
        <w:rPr>
          <w:rFonts w:eastAsia="Times New Roman"/>
          <w:sz w:val="48"/>
          <w:szCs w:val="48"/>
        </w:rPr>
      </w:pPr>
      <w:r w:rsidRPr="007D4E7F">
        <w:rPr>
          <w:rFonts w:eastAsia="Times New Roman"/>
          <w:b/>
          <w:noProof/>
          <w:szCs w:val="20"/>
          <w:lang w:val="en-CA" w:eastAsia="en-CA"/>
        </w:rPr>
        <w:drawing>
          <wp:inline distT="0" distB="0" distL="0" distR="0" wp14:anchorId="0979D989" wp14:editId="229B0DB3">
            <wp:extent cx="1448435" cy="3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48435" cy="358140"/>
                    </a:xfrm>
                    <a:prstGeom prst="rect">
                      <a:avLst/>
                    </a:prstGeom>
                    <a:noFill/>
                    <a:ln>
                      <a:noFill/>
                    </a:ln>
                  </pic:spPr>
                </pic:pic>
              </a:graphicData>
            </a:graphic>
          </wp:inline>
        </w:drawing>
      </w:r>
    </w:p>
    <w:p w14:paraId="0690B225" w14:textId="77777777" w:rsidR="00FE6C6E" w:rsidRPr="007D4E7F" w:rsidRDefault="00201EFA" w:rsidP="00FE6C6E">
      <w:pPr>
        <w:keepNext/>
        <w:keepLines/>
        <w:spacing w:before="240" w:after="0" w:line="240" w:lineRule="auto"/>
        <w:jc w:val="center"/>
        <w:rPr>
          <w:rFonts w:eastAsia="Times New Roman"/>
          <w:b/>
          <w:sz w:val="32"/>
          <w:szCs w:val="32"/>
        </w:rPr>
      </w:pPr>
      <w:r w:rsidRPr="007D4E7F">
        <w:rPr>
          <w:rFonts w:eastAsia="Times New Roman"/>
          <w:b/>
          <w:szCs w:val="20"/>
        </w:rPr>
        <w:t>International Swaps and Derivatives Association, Inc.</w:t>
      </w:r>
    </w:p>
    <w:p w14:paraId="780EE65E" w14:textId="77777777" w:rsidR="00FE6C6E" w:rsidRPr="007D4E7F" w:rsidRDefault="00201EFA" w:rsidP="00FE6C6E">
      <w:pPr>
        <w:keepNext/>
        <w:keepLines/>
        <w:spacing w:before="240" w:after="0" w:line="240" w:lineRule="auto"/>
        <w:jc w:val="center"/>
        <w:rPr>
          <w:b/>
        </w:rPr>
      </w:pPr>
      <w:r w:rsidRPr="007D4E7F">
        <w:rPr>
          <w:rFonts w:eastAsia="Times New Roman"/>
          <w:b/>
          <w:sz w:val="32"/>
          <w:szCs w:val="32"/>
        </w:rPr>
        <w:t>CANADIAN REPRESENTATION LETTER #2</w:t>
      </w:r>
      <w:r w:rsidRPr="007D4E7F">
        <w:rPr>
          <w:b/>
        </w:rPr>
        <w:t xml:space="preserve"> </w:t>
      </w:r>
    </w:p>
    <w:p w14:paraId="6EA89570" w14:textId="77777777" w:rsidR="00FE6C6E" w:rsidRDefault="00201EFA" w:rsidP="00FE6C6E">
      <w:pPr>
        <w:keepNext/>
        <w:keepLines/>
        <w:spacing w:before="240" w:after="0" w:line="240" w:lineRule="auto"/>
        <w:jc w:val="center"/>
        <w:rPr>
          <w:rFonts w:eastAsia="Times New Roman"/>
          <w:b/>
          <w:sz w:val="32"/>
          <w:szCs w:val="32"/>
        </w:rPr>
      </w:pPr>
      <w:r w:rsidRPr="007D4E7F">
        <w:rPr>
          <w:rFonts w:eastAsia="Times New Roman"/>
          <w:b/>
          <w:sz w:val="32"/>
          <w:szCs w:val="32"/>
        </w:rPr>
        <w:t>BUSINESS CONDUCT RULE</w:t>
      </w:r>
    </w:p>
    <w:p w14:paraId="5479DC1A" w14:textId="77777777" w:rsidR="00FE6C6E" w:rsidRPr="009563E4" w:rsidRDefault="00201EFA" w:rsidP="00FE6C6E">
      <w:pPr>
        <w:keepNext/>
        <w:keepLines/>
        <w:spacing w:before="240" w:after="0" w:line="240" w:lineRule="auto"/>
        <w:jc w:val="center"/>
        <w:rPr>
          <w:rFonts w:eastAsia="Times New Roman"/>
          <w:b/>
          <w:bCs/>
          <w:sz w:val="22"/>
          <w:szCs w:val="18"/>
        </w:rPr>
      </w:pPr>
      <w:r w:rsidRPr="00E34155">
        <w:rPr>
          <w:rFonts w:eastAsia="Times New Roman"/>
          <w:b/>
          <w:bCs/>
          <w:sz w:val="22"/>
          <w:szCs w:val="18"/>
          <w:highlight w:val="lightGray"/>
        </w:rPr>
        <w:t>(Annotated Version)</w:t>
      </w:r>
      <w:r>
        <w:rPr>
          <w:rStyle w:val="FootnoteReference"/>
          <w:rFonts w:eastAsia="Times New Roman"/>
          <w:b/>
          <w:bCs/>
          <w:sz w:val="22"/>
          <w:szCs w:val="18"/>
          <w:highlight w:val="lightGray"/>
        </w:rPr>
        <w:footnoteReference w:id="1"/>
      </w:r>
    </w:p>
    <w:p w14:paraId="61FDB95E" w14:textId="4863FA29" w:rsidR="00FE6C6E" w:rsidRPr="007D4E7F" w:rsidRDefault="00201EFA" w:rsidP="00FE6C6E">
      <w:pPr>
        <w:keepNext/>
        <w:keepLines/>
        <w:spacing w:before="240" w:after="0" w:line="240" w:lineRule="auto"/>
        <w:jc w:val="center"/>
        <w:rPr>
          <w:rFonts w:eastAsia="Times New Roman"/>
          <w:b/>
          <w:sz w:val="22"/>
        </w:rPr>
      </w:pPr>
      <w:r w:rsidRPr="002A0C76">
        <w:rPr>
          <w:rFonts w:eastAsia="SimSun"/>
          <w:b/>
          <w:bCs/>
          <w:noProof/>
          <w:sz w:val="22"/>
          <w:lang w:val="en-CA" w:eastAsia="en-CA"/>
        </w:rPr>
        <mc:AlternateContent>
          <mc:Choice Requires="wps">
            <w:drawing>
              <wp:anchor distT="45720" distB="45720" distL="114300" distR="114300" simplePos="0" relativeHeight="251658240" behindDoc="0" locked="0" layoutInCell="1" allowOverlap="1" wp14:anchorId="316956F5" wp14:editId="3139C10F">
                <wp:simplePos x="0" y="0"/>
                <wp:positionH relativeFrom="margin">
                  <wp:posOffset>-157843</wp:posOffset>
                </wp:positionH>
                <wp:positionV relativeFrom="paragraph">
                  <wp:posOffset>769884</wp:posOffset>
                </wp:positionV>
                <wp:extent cx="6891020" cy="1252220"/>
                <wp:effectExtent l="0" t="0" r="24130" b="241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020" cy="1252220"/>
                        </a:xfrm>
                        <a:prstGeom prst="rect">
                          <a:avLst/>
                        </a:prstGeom>
                        <a:solidFill>
                          <a:srgbClr val="FFFFFF"/>
                        </a:solidFill>
                        <a:ln w="9525">
                          <a:solidFill>
                            <a:srgbClr val="000000"/>
                          </a:solidFill>
                          <a:miter lim="800000"/>
                          <a:headEnd/>
                          <a:tailEnd/>
                        </a:ln>
                      </wps:spPr>
                      <wps:txbx>
                        <w:txbxContent>
                          <w:p w14:paraId="333C10E4" w14:textId="77777777" w:rsidR="00FE6C6E" w:rsidRPr="00175991" w:rsidRDefault="00201EFA" w:rsidP="00FE6C6E">
                            <w:pPr>
                              <w:jc w:val="both"/>
                              <w:rPr>
                                <w:sz w:val="20"/>
                                <w:szCs w:val="20"/>
                              </w:rPr>
                            </w:pPr>
                            <w:r w:rsidRPr="00175991">
                              <w:rPr>
                                <w:sz w:val="20"/>
                                <w:szCs w:val="20"/>
                              </w:rPr>
                              <w:t xml:space="preserve">You should complete each Part of this Letter in accordance with the instructions herein. You should consider seeking clarification from Recipient ahead of time if it is not clear which Parts are required </w:t>
                            </w:r>
                            <w:r>
                              <w:rPr>
                                <w:sz w:val="20"/>
                                <w:szCs w:val="20"/>
                              </w:rPr>
                              <w:t xml:space="preserve">to be responded to </w:t>
                            </w:r>
                            <w:r w:rsidRPr="00175991">
                              <w:rPr>
                                <w:sz w:val="20"/>
                                <w:szCs w:val="20"/>
                              </w:rPr>
                              <w:t>by Recipient.</w:t>
                            </w:r>
                            <w:r w:rsidR="00B15AF3">
                              <w:rPr>
                                <w:sz w:val="20"/>
                                <w:szCs w:val="20"/>
                              </w:rPr>
                              <w:t xml:space="preserve"> You may have received instructions from the Recipient that you need to fill out only certain </w:t>
                            </w:r>
                            <w:r w:rsidR="006D17CB">
                              <w:rPr>
                                <w:sz w:val="20"/>
                                <w:szCs w:val="20"/>
                              </w:rPr>
                              <w:t>P</w:t>
                            </w:r>
                            <w:r w:rsidR="00B15AF3">
                              <w:rPr>
                                <w:sz w:val="20"/>
                                <w:szCs w:val="20"/>
                              </w:rPr>
                              <w:t xml:space="preserve">arts of this letter – for example, some non-Canadian dealers may request responses only to Parts I and IV – in which case, answers need to be provided only for those </w:t>
                            </w:r>
                            <w:r w:rsidR="006D17CB">
                              <w:rPr>
                                <w:sz w:val="20"/>
                                <w:szCs w:val="20"/>
                              </w:rPr>
                              <w:t xml:space="preserve">identified </w:t>
                            </w:r>
                            <w:r w:rsidR="00B15AF3">
                              <w:rPr>
                                <w:sz w:val="20"/>
                                <w:szCs w:val="20"/>
                              </w:rPr>
                              <w:t>Parts.</w:t>
                            </w:r>
                          </w:p>
                          <w:p w14:paraId="2260BC78" w14:textId="77777777" w:rsidR="00FE6C6E" w:rsidRPr="00175991" w:rsidRDefault="00201EFA" w:rsidP="00FE6C6E">
                            <w:pPr>
                              <w:jc w:val="both"/>
                              <w:rPr>
                                <w:sz w:val="20"/>
                                <w:szCs w:val="20"/>
                              </w:rPr>
                            </w:pPr>
                            <w:r w:rsidRPr="00175991">
                              <w:rPr>
                                <w:sz w:val="20"/>
                                <w:szCs w:val="20"/>
                              </w:rPr>
                              <w:t>If you wish to make additional statements, or revise existing statements already made in any existing response, or wish to add a response, you should re-execute the Letter and address each relevant item. In the absence of any statement to the contrary, if you redeliver the Letter to Recipient but do not address an item previously addressed, the information for that item will be deemed to have been redelivered as part of th</w:t>
                            </w:r>
                            <w:r>
                              <w:rPr>
                                <w:sz w:val="20"/>
                                <w:szCs w:val="20"/>
                              </w:rPr>
                              <w:t>e</w:t>
                            </w:r>
                            <w:r w:rsidRPr="00175991">
                              <w:rPr>
                                <w:sz w:val="20"/>
                                <w:szCs w:val="20"/>
                              </w:rPr>
                              <w:t xml:space="preserve"> Letter in the form it was most recently delivered to Recipient.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316956F5" id="_x0000_t202" coordsize="21600,21600" o:spt="202" path="m,l,21600r21600,l21600,xe">
                <v:stroke joinstyle="miter"/>
                <v:path gradientshapeok="t" o:connecttype="rect"/>
              </v:shapetype>
              <v:shape id="Text Box 217" o:spid="_x0000_s1026" type="#_x0000_t202" style="position:absolute;left:0;text-align:left;margin-left:-12.45pt;margin-top:60.6pt;width:542.6pt;height:98.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">
                <v:textbox>
                  <w:txbxContent>
                    <w:p w14:paraId="333C10E4" w14:textId="77777777" w:rsidR="00FE6C6E" w:rsidRPr="00175991" w:rsidRDefault="00201EFA" w:rsidP="00FE6C6E">
                      <w:pPr>
                        <w:jc w:val="both"/>
                        <w:rPr>
                          <w:sz w:val="20"/>
                          <w:szCs w:val="20"/>
                        </w:rPr>
                      </w:pPr>
                      <w:r w:rsidRPr="00175991">
                        <w:rPr>
                          <w:sz w:val="20"/>
                          <w:szCs w:val="20"/>
                        </w:rPr>
                        <w:t xml:space="preserve">You should complete each Part of this Letter in accordance with the instructions herein. You should consider seeking clarification from Recipient ahead of time if it is not clear which Parts are required </w:t>
                      </w:r>
                      <w:r>
                        <w:rPr>
                          <w:sz w:val="20"/>
                          <w:szCs w:val="20"/>
                        </w:rPr>
                        <w:t xml:space="preserve">to be responded to </w:t>
                      </w:r>
                      <w:r w:rsidRPr="00175991">
                        <w:rPr>
                          <w:sz w:val="20"/>
                          <w:szCs w:val="20"/>
                        </w:rPr>
                        <w:t>by Recipient.</w:t>
                      </w:r>
                      <w:r w:rsidR="00B15AF3">
                        <w:rPr>
                          <w:sz w:val="20"/>
                          <w:szCs w:val="20"/>
                        </w:rPr>
                        <w:t xml:space="preserve"> You may have received instructions from the Recipient that you need to fill out only certain </w:t>
                      </w:r>
                      <w:r w:rsidR="006D17CB">
                        <w:rPr>
                          <w:sz w:val="20"/>
                          <w:szCs w:val="20"/>
                        </w:rPr>
                        <w:t>P</w:t>
                      </w:r>
                      <w:r w:rsidR="00B15AF3">
                        <w:rPr>
                          <w:sz w:val="20"/>
                          <w:szCs w:val="20"/>
                        </w:rPr>
                        <w:t xml:space="preserve">arts of this letter – for example, some non-Canadian dealers may request responses only to Parts I and IV – in which case, answers need to be provided only for those </w:t>
                      </w:r>
                      <w:r w:rsidR="006D17CB">
                        <w:rPr>
                          <w:sz w:val="20"/>
                          <w:szCs w:val="20"/>
                        </w:rPr>
                        <w:t xml:space="preserve">identified </w:t>
                      </w:r>
                      <w:r w:rsidR="00B15AF3">
                        <w:rPr>
                          <w:sz w:val="20"/>
                          <w:szCs w:val="20"/>
                        </w:rPr>
                        <w:t>Parts.</w:t>
                      </w:r>
                    </w:p>
                    <w:p w14:paraId="2260BC78" w14:textId="77777777" w:rsidR="00FE6C6E" w:rsidRPr="00175991" w:rsidRDefault="00201EFA" w:rsidP="00FE6C6E">
                      <w:pPr>
                        <w:jc w:val="both"/>
                        <w:rPr>
                          <w:sz w:val="20"/>
                          <w:szCs w:val="20"/>
                        </w:rPr>
                      </w:pPr>
                      <w:r w:rsidRPr="00175991">
                        <w:rPr>
                          <w:sz w:val="20"/>
                          <w:szCs w:val="20"/>
                        </w:rPr>
                        <w:t>If you wish to make additional statements, or revise existing statements already made in any existing response, or wish to add a response, you should re-execute the Letter and address each relevant item. In the absence of any statement to the contrary, if you redeliver the Letter to Recipient but do not address an item previously addressed, the information for that item will be deemed to have been redelivered as part of th</w:t>
                      </w:r>
                      <w:r>
                        <w:rPr>
                          <w:sz w:val="20"/>
                          <w:szCs w:val="20"/>
                        </w:rPr>
                        <w:t>e</w:t>
                      </w:r>
                      <w:r w:rsidRPr="00175991">
                        <w:rPr>
                          <w:sz w:val="20"/>
                          <w:szCs w:val="20"/>
                        </w:rPr>
                        <w:t xml:space="preserve"> Letter in the form it was most recently delivered to Recipient.</w:t>
                      </w:r>
                    </w:p>
                  </w:txbxContent>
                </v:textbox>
                <w10:wrap type="square" anchorx="margin"/>
              </v:shape>
            </w:pict>
          </mc:Fallback>
        </mc:AlternateContent>
      </w:r>
      <w:r w:rsidRPr="002A0C76">
        <w:rPr>
          <w:rFonts w:eastAsia="Times New Roman"/>
          <w:b/>
          <w:bCs/>
          <w:sz w:val="22"/>
          <w:szCs w:val="18"/>
        </w:rPr>
        <w:t xml:space="preserve">published on </w:t>
      </w:r>
      <w:r w:rsidR="00631BA9">
        <w:rPr>
          <w:rFonts w:eastAsia="Times New Roman"/>
          <w:b/>
          <w:bCs/>
          <w:sz w:val="22"/>
          <w:szCs w:val="18"/>
        </w:rPr>
        <w:t>February 19, 2025</w:t>
      </w:r>
      <w:r w:rsidRPr="007D4E7F">
        <w:rPr>
          <w:rFonts w:eastAsia="Times New Roman"/>
          <w:b/>
          <w:sz w:val="22"/>
          <w:szCs w:val="18"/>
        </w:rPr>
        <w:br/>
        <w:t>by the International Swaps and Derivatives Association, Inc.</w:t>
      </w:r>
    </w:p>
    <w:p w14:paraId="5DBD48E0" w14:textId="77777777" w:rsidR="00FE6C6E" w:rsidRPr="007D4E7F" w:rsidRDefault="00201EFA" w:rsidP="00FE6C6E">
      <w:pPr>
        <w:tabs>
          <w:tab w:val="left" w:pos="5026"/>
        </w:tabs>
        <w:spacing w:before="240" w:after="0" w:line="260" w:lineRule="atLeast"/>
        <w:jc w:val="both"/>
        <w:rPr>
          <w:rFonts w:eastAsia="SimSun"/>
          <w:b/>
          <w:i/>
          <w:sz w:val="22"/>
          <w:lang w:val="en-GB"/>
        </w:rPr>
      </w:pPr>
      <w:r w:rsidRPr="007D4E7F">
        <w:rPr>
          <w:rFonts w:eastAsia="SimSun"/>
          <w:sz w:val="22"/>
          <w:lang w:val="en-GB"/>
        </w:rPr>
        <w:t>TO</w:t>
      </w:r>
      <w:r>
        <w:rPr>
          <w:rFonts w:eastAsia="SimSun"/>
          <w:sz w:val="22"/>
          <w:vertAlign w:val="superscript"/>
          <w:lang w:val="en-GB"/>
        </w:rPr>
        <w:footnoteReference w:id="2"/>
      </w:r>
      <w:r w:rsidRPr="007D4E7F">
        <w:rPr>
          <w:rFonts w:eastAsia="SimSun"/>
          <w:sz w:val="22"/>
          <w:lang w:val="en-GB"/>
        </w:rPr>
        <w:t>:</w:t>
      </w:r>
      <w:r w:rsidRPr="007D4E7F">
        <w:rPr>
          <w:rFonts w:eastAsia="SimSun"/>
          <w:sz w:val="22"/>
          <w:u w:val="single"/>
          <w:lang w:val="en-GB" w:eastAsia="zh-CN"/>
        </w:rPr>
        <w:tab/>
      </w:r>
      <w:r w:rsidRPr="007D4E7F">
        <w:rPr>
          <w:rFonts w:eastAsia="SimSun"/>
          <w:sz w:val="22"/>
          <w:lang w:val="en-GB"/>
        </w:rPr>
        <w:t xml:space="preserve"> (“</w:t>
      </w:r>
      <w:r w:rsidRPr="007D4E7F">
        <w:rPr>
          <w:rFonts w:eastAsia="SimSun"/>
          <w:b/>
          <w:i/>
          <w:sz w:val="22"/>
          <w:lang w:val="en-GB"/>
        </w:rPr>
        <w:t>Recipient</w:t>
      </w:r>
      <w:r w:rsidRPr="007D4E7F">
        <w:rPr>
          <w:rFonts w:eastAsia="SimSun"/>
          <w:sz w:val="22"/>
          <w:lang w:val="en-GB"/>
        </w:rPr>
        <w:t>”)</w:t>
      </w:r>
    </w:p>
    <w:p w14:paraId="41A1B1A3" w14:textId="737A8B20" w:rsidR="00FE6C6E" w:rsidRPr="007D4E7F" w:rsidRDefault="00201EFA" w:rsidP="00FE6C6E">
      <w:pPr>
        <w:tabs>
          <w:tab w:val="left" w:pos="284"/>
        </w:tabs>
        <w:spacing w:before="240" w:after="0" w:line="260" w:lineRule="atLeast"/>
        <w:jc w:val="both"/>
        <w:rPr>
          <w:b/>
          <w:lang w:val="en-GB"/>
        </w:rPr>
      </w:pPr>
      <w:r w:rsidRPr="007D4E7F">
        <w:rPr>
          <w:rFonts w:eastAsia="SimSun"/>
          <w:b/>
          <w:i/>
          <w:sz w:val="22"/>
          <w:lang w:val="en-GB"/>
        </w:rPr>
        <w:t>A.</w:t>
      </w:r>
      <w:r w:rsidRPr="007D4E7F">
        <w:rPr>
          <w:rFonts w:eastAsia="SimSun"/>
          <w:b/>
          <w:i/>
          <w:sz w:val="22"/>
          <w:lang w:val="en-GB"/>
        </w:rPr>
        <w:tab/>
        <w:t>General.</w:t>
      </w:r>
      <w:r w:rsidRPr="007D4E7F">
        <w:rPr>
          <w:rFonts w:eastAsia="SimSun"/>
          <w:sz w:val="22"/>
          <w:lang w:val="en-GB"/>
        </w:rPr>
        <w:t xml:space="preserve"> The person named below (“</w:t>
      </w:r>
      <w:r w:rsidRPr="007D4E7F">
        <w:rPr>
          <w:rFonts w:eastAsia="SimSun"/>
          <w:b/>
          <w:i/>
          <w:sz w:val="22"/>
          <w:lang w:val="en-GB"/>
        </w:rPr>
        <w:t>Named Person</w:t>
      </w:r>
      <w:r w:rsidRPr="007D4E7F">
        <w:rPr>
          <w:rFonts w:eastAsia="SimSun"/>
          <w:sz w:val="22"/>
          <w:lang w:val="en-GB"/>
        </w:rPr>
        <w:t xml:space="preserve">”) hereby makes the statements in each of the applicable Parts to this ISDA Canadian Representation Letter #2 </w:t>
      </w:r>
      <w:r w:rsidRPr="007D4E7F">
        <w:rPr>
          <w:rFonts w:eastAsia="SimSun"/>
          <w:i/>
          <w:iCs/>
          <w:sz w:val="22"/>
          <w:lang w:val="en-GB"/>
        </w:rPr>
        <w:t>Business Conduct Rule</w:t>
      </w:r>
      <w:r w:rsidRPr="007D4E7F">
        <w:rPr>
          <w:rFonts w:eastAsia="SimSun"/>
          <w:sz w:val="22"/>
          <w:lang w:val="en-GB"/>
        </w:rPr>
        <w:t xml:space="preserve"> (this “</w:t>
      </w:r>
      <w:r w:rsidRPr="007D4E7F">
        <w:rPr>
          <w:rFonts w:eastAsia="SimSun"/>
          <w:b/>
          <w:i/>
          <w:sz w:val="22"/>
          <w:lang w:val="en-GB"/>
        </w:rPr>
        <w:t>Letter</w:t>
      </w:r>
      <w:r w:rsidRPr="007D4E7F">
        <w:rPr>
          <w:rFonts w:eastAsia="SimSun"/>
          <w:sz w:val="22"/>
          <w:lang w:val="en-GB"/>
        </w:rPr>
        <w:t>” consisting of the main body of this letter together with all applicable Parts and Supplements</w:t>
      </w:r>
      <w:r>
        <w:rPr>
          <w:rFonts w:eastAsia="SimSun"/>
          <w:sz w:val="22"/>
          <w:lang w:val="en-GB"/>
        </w:rPr>
        <w:t xml:space="preserve"> (if applicable)</w:t>
      </w:r>
      <w:r w:rsidRPr="007D4E7F">
        <w:rPr>
          <w:rFonts w:eastAsia="SimSun"/>
          <w:sz w:val="22"/>
          <w:lang w:val="en-GB"/>
        </w:rPr>
        <w:t xml:space="preserve"> delivered from time to time, including electronically through ISDA Amend and/or such other relevant electronic platform identified by ISDA) with effect from the date specified in such Letter as the effective date. Each such statement is intended to provide Recipient with status information </w:t>
      </w:r>
      <w:r>
        <w:rPr>
          <w:rFonts w:eastAsia="SimSun"/>
          <w:sz w:val="22"/>
          <w:lang w:val="en-GB"/>
        </w:rPr>
        <w:t xml:space="preserve">and/or representations </w:t>
      </w:r>
      <w:r w:rsidRPr="007D4E7F">
        <w:rPr>
          <w:rFonts w:eastAsia="SimSun"/>
          <w:sz w:val="22"/>
          <w:lang w:val="en-GB"/>
        </w:rPr>
        <w:t xml:space="preserve">needed by Recipient to determine the application of </w:t>
      </w:r>
      <w:r>
        <w:rPr>
          <w:rFonts w:eastAsia="SimSun"/>
          <w:sz w:val="22"/>
          <w:lang w:val="en-GB"/>
        </w:rPr>
        <w:t>the Business Conduct Rule or exemptions thereunder.</w:t>
      </w:r>
      <w:r w:rsidRPr="007D4E7F">
        <w:rPr>
          <w:rFonts w:eastAsia="SimSun"/>
          <w:sz w:val="22"/>
          <w:lang w:val="en-GB"/>
        </w:rPr>
        <w:t xml:space="preserve"> The statements and waivers, as applicable, in this Letter are for the purposes of such determinations.</w:t>
      </w:r>
    </w:p>
    <w:p w14:paraId="73288225" w14:textId="77777777" w:rsidR="00FE6C6E" w:rsidRPr="007D4E7F" w:rsidRDefault="00201EFA" w:rsidP="00FE6C6E">
      <w:pPr>
        <w:tabs>
          <w:tab w:val="left" w:pos="284"/>
        </w:tabs>
        <w:spacing w:before="240" w:after="0" w:line="260" w:lineRule="atLeast"/>
        <w:jc w:val="both"/>
        <w:rPr>
          <w:rFonts w:eastAsia="SimSun"/>
          <w:sz w:val="22"/>
          <w:lang w:val="en-GB"/>
        </w:rPr>
      </w:pPr>
      <w:r w:rsidRPr="007D4E7F">
        <w:rPr>
          <w:rFonts w:eastAsia="SimSun"/>
          <w:b/>
          <w:i/>
          <w:sz w:val="22"/>
          <w:lang w:val="en-GB"/>
        </w:rPr>
        <w:t>B.</w:t>
      </w:r>
      <w:r w:rsidRPr="007D4E7F">
        <w:rPr>
          <w:rFonts w:eastAsia="SimSun"/>
          <w:b/>
          <w:i/>
          <w:sz w:val="22"/>
          <w:lang w:val="en-GB"/>
        </w:rPr>
        <w:tab/>
        <w:t>Reliance.</w:t>
      </w:r>
      <w:r w:rsidRPr="007D4E7F">
        <w:rPr>
          <w:rFonts w:eastAsia="SimSun"/>
          <w:sz w:val="22"/>
          <w:lang w:val="en-GB"/>
        </w:rPr>
        <w:t xml:space="preserve"> Subject to any statement to the contrary in any applicable Part or Supplement:</w:t>
      </w:r>
    </w:p>
    <w:p w14:paraId="7415ADAA" w14:textId="77777777" w:rsidR="00FE6C6E" w:rsidRPr="007D4E7F" w:rsidRDefault="00201EFA" w:rsidP="00FE6C6E">
      <w:pPr>
        <w:spacing w:before="240" w:after="0" w:line="260" w:lineRule="atLeast"/>
        <w:ind w:left="993" w:hanging="727"/>
        <w:jc w:val="both"/>
        <w:rPr>
          <w:rFonts w:eastAsia="SimSun"/>
          <w:sz w:val="22"/>
          <w:lang w:val="en-GB"/>
        </w:rPr>
      </w:pPr>
      <w:r w:rsidRPr="007D4E7F">
        <w:rPr>
          <w:rFonts w:eastAsia="SimSun"/>
          <w:sz w:val="22"/>
          <w:lang w:val="en-GB"/>
        </w:rPr>
        <w:t>(i)</w:t>
      </w:r>
      <w:r w:rsidRPr="007D4E7F">
        <w:rPr>
          <w:rFonts w:eastAsia="SimSun"/>
          <w:sz w:val="22"/>
          <w:lang w:val="en-GB"/>
        </w:rPr>
        <w:tab/>
        <w:t xml:space="preserve">Named Person will notify Recipient in writing before or as soon as reasonably practicable following any of the statements made by it in any Part ceasing to be </w:t>
      </w:r>
      <w:proofErr w:type="gramStart"/>
      <w:r w:rsidRPr="007D4E7F">
        <w:rPr>
          <w:rFonts w:eastAsia="SimSun"/>
          <w:sz w:val="22"/>
          <w:lang w:val="en-GB"/>
        </w:rPr>
        <w:t>true;</w:t>
      </w:r>
      <w:proofErr w:type="gramEnd"/>
    </w:p>
    <w:p w14:paraId="7EB44612" w14:textId="77777777" w:rsidR="00FE6C6E" w:rsidRPr="007D4E7F" w:rsidRDefault="00201EFA" w:rsidP="00FE6C6E">
      <w:pPr>
        <w:spacing w:before="240" w:after="0" w:line="260" w:lineRule="atLeast"/>
        <w:ind w:left="993" w:hanging="709"/>
        <w:jc w:val="both"/>
        <w:rPr>
          <w:rFonts w:eastAsia="SimSun"/>
          <w:sz w:val="22"/>
          <w:lang w:val="en-GB"/>
        </w:rPr>
      </w:pPr>
      <w:r w:rsidRPr="007D4E7F">
        <w:rPr>
          <w:rFonts w:eastAsia="SimSun"/>
          <w:sz w:val="22"/>
          <w:lang w:val="en-GB"/>
        </w:rPr>
        <w:t>(ii)</w:t>
      </w:r>
      <w:r w:rsidRPr="007D4E7F">
        <w:rPr>
          <w:rFonts w:eastAsia="SimSun"/>
          <w:sz w:val="22"/>
          <w:lang w:val="en-GB"/>
        </w:rPr>
        <w:tab/>
        <w:t>Recipient may rely on the statements and waivers, as applicable, given by Named Person in each applicable Part and Supplement unless and until Named Person notifies Recipient in writing to the contrary; and</w:t>
      </w:r>
    </w:p>
    <w:p w14:paraId="64F10F5B" w14:textId="77777777" w:rsidR="00FE6C6E" w:rsidRPr="007D4E7F" w:rsidRDefault="00201EFA" w:rsidP="00FE6C6E">
      <w:pPr>
        <w:spacing w:before="240" w:after="0" w:line="260" w:lineRule="atLeast"/>
        <w:ind w:left="993" w:hanging="709"/>
        <w:jc w:val="both"/>
        <w:rPr>
          <w:rFonts w:eastAsia="SimSun"/>
          <w:sz w:val="22"/>
          <w:lang w:val="en-GB"/>
        </w:rPr>
      </w:pPr>
      <w:r w:rsidRPr="007D4E7F">
        <w:rPr>
          <w:rFonts w:eastAsia="SimSun"/>
          <w:sz w:val="22"/>
          <w:lang w:val="en-GB"/>
        </w:rPr>
        <w:t>(iii)</w:t>
      </w:r>
      <w:r w:rsidRPr="007D4E7F">
        <w:rPr>
          <w:rFonts w:eastAsia="SimSun"/>
          <w:sz w:val="22"/>
          <w:lang w:val="en-GB"/>
        </w:rPr>
        <w:tab/>
        <w:t xml:space="preserve">to the extent any statement or waiver, as applicable, made in this Letter </w:t>
      </w:r>
      <w:bookmarkStart w:id="0" w:name="_Hlk152496874"/>
      <w:r w:rsidRPr="007D4E7F">
        <w:rPr>
          <w:rFonts w:eastAsia="SimSun"/>
          <w:sz w:val="22"/>
          <w:lang w:val="en-GB"/>
        </w:rPr>
        <w:t xml:space="preserve">or any Supplement </w:t>
      </w:r>
      <w:bookmarkEnd w:id="0"/>
      <w:r w:rsidRPr="007D4E7F">
        <w:rPr>
          <w:rFonts w:eastAsia="SimSun"/>
          <w:sz w:val="22"/>
          <w:lang w:val="en-GB"/>
        </w:rPr>
        <w:t xml:space="preserve">is inconsistent with any prior statement or waiver, as applicable, given by Named Person to Recipient in any previous version of this Letter or any Supplement, the statements and waivers, as applicable, made herein shall prevail.  </w:t>
      </w:r>
    </w:p>
    <w:p w14:paraId="0EE708C7" w14:textId="77777777" w:rsidR="00FE6C6E" w:rsidRPr="007D4E7F" w:rsidRDefault="00201EFA" w:rsidP="00FE6C6E">
      <w:pPr>
        <w:spacing w:before="240" w:after="0" w:line="260" w:lineRule="atLeast"/>
        <w:jc w:val="both"/>
        <w:rPr>
          <w:rFonts w:eastAsia="SimSun"/>
          <w:sz w:val="22"/>
          <w:lang w:val="en-GB"/>
        </w:rPr>
      </w:pPr>
      <w:r w:rsidRPr="007D4E7F">
        <w:rPr>
          <w:rFonts w:eastAsia="SimSun"/>
          <w:b/>
          <w:i/>
          <w:sz w:val="22"/>
          <w:lang w:val="en-GB"/>
        </w:rPr>
        <w:lastRenderedPageBreak/>
        <w:t>C. Definitions</w:t>
      </w:r>
      <w:r w:rsidRPr="007D4E7F">
        <w:rPr>
          <w:rFonts w:eastAsia="SimSun"/>
          <w:b/>
          <w:sz w:val="22"/>
          <w:lang w:val="en-GB"/>
        </w:rPr>
        <w:t xml:space="preserve">. </w:t>
      </w:r>
      <w:r>
        <w:rPr>
          <w:rFonts w:eastAsia="SimSun"/>
          <w:sz w:val="22"/>
          <w:lang w:val="en-GB"/>
        </w:rPr>
        <w:t>Certain</w:t>
      </w:r>
      <w:r w:rsidRPr="007D4E7F">
        <w:rPr>
          <w:rFonts w:eastAsia="SimSun"/>
          <w:sz w:val="22"/>
          <w:lang w:val="en-GB"/>
        </w:rPr>
        <w:t xml:space="preserve"> terms </w:t>
      </w:r>
      <w:r>
        <w:rPr>
          <w:rFonts w:eastAsia="SimSun"/>
          <w:sz w:val="22"/>
          <w:lang w:val="en-GB"/>
        </w:rPr>
        <w:t xml:space="preserve">(including capitalized terms) </w:t>
      </w:r>
      <w:r w:rsidRPr="007D4E7F">
        <w:rPr>
          <w:rFonts w:eastAsia="SimSun"/>
          <w:sz w:val="22"/>
        </w:rPr>
        <w:t xml:space="preserve">used in this </w:t>
      </w:r>
      <w:r>
        <w:rPr>
          <w:rFonts w:eastAsia="SimSun"/>
          <w:sz w:val="22"/>
        </w:rPr>
        <w:t>L</w:t>
      </w:r>
      <w:r w:rsidRPr="007D4E7F">
        <w:rPr>
          <w:rFonts w:eastAsia="SimSun"/>
          <w:sz w:val="22"/>
        </w:rPr>
        <w:t>etter have the meanings specified in the Appendix.</w:t>
      </w:r>
    </w:p>
    <w:p w14:paraId="5048714A" w14:textId="77777777" w:rsidR="00FE6C6E" w:rsidRPr="007D4E7F" w:rsidRDefault="00201EFA" w:rsidP="00FE6C6E">
      <w:pPr>
        <w:spacing w:before="240" w:after="0" w:line="260" w:lineRule="atLeast"/>
        <w:jc w:val="both"/>
        <w:rPr>
          <w:rFonts w:eastAsia="SimSun"/>
          <w:sz w:val="22"/>
          <w:lang w:val="en-GB"/>
        </w:rPr>
      </w:pPr>
      <w:r w:rsidRPr="007D4E7F">
        <w:rPr>
          <w:rFonts w:eastAsia="SimSun"/>
          <w:sz w:val="22"/>
          <w:lang w:val="en-GB"/>
        </w:rPr>
        <w:t>Where this Letter is completed and delivered by an agent or mandatary on behalf of one or more Named Persons, this Letter should be treated as if it were a separate Letter with respect to each Named Person listed by the agent or mandatary.</w:t>
      </w:r>
    </w:p>
    <w:p w14:paraId="062F0A2A" w14:textId="77777777" w:rsidR="00FE6C6E" w:rsidRPr="007D4E7F" w:rsidRDefault="00201EFA" w:rsidP="00FE6C6E">
      <w:pPr>
        <w:spacing w:before="240" w:after="0" w:line="260" w:lineRule="atLeast"/>
        <w:jc w:val="both"/>
        <w:rPr>
          <w:rFonts w:eastAsia="SimSun"/>
          <w:sz w:val="22"/>
          <w:lang w:val="en-GB"/>
        </w:rPr>
      </w:pPr>
      <w:r w:rsidRPr="007D4E7F">
        <w:rPr>
          <w:rFonts w:eastAsia="SimSun"/>
          <w:sz w:val="22"/>
          <w:lang w:val="en-GB"/>
        </w:rPr>
        <w:t xml:space="preserve">Executed and delivered with effect (except as otherwise provided for in Part II of this Letter) from: </w:t>
      </w:r>
    </w:p>
    <w:p w14:paraId="55A59E69" w14:textId="77777777" w:rsidR="00FE6C6E" w:rsidRPr="007D4E7F" w:rsidRDefault="00201EFA" w:rsidP="00FE6C6E">
      <w:pPr>
        <w:tabs>
          <w:tab w:val="left" w:pos="5103"/>
          <w:tab w:val="left" w:pos="8789"/>
        </w:tabs>
        <w:spacing w:before="240" w:after="0" w:line="260" w:lineRule="atLeast"/>
        <w:jc w:val="both"/>
        <w:rPr>
          <w:rFonts w:eastAsia="SimSun"/>
          <w:sz w:val="22"/>
          <w:lang w:val="en-GB"/>
        </w:rPr>
      </w:pPr>
      <w:r w:rsidRPr="007D4E7F">
        <w:rPr>
          <w:rFonts w:eastAsia="SimSun"/>
          <w:sz w:val="22"/>
          <w:lang w:val="en-GB"/>
        </w:rPr>
        <w:t>Date:</w:t>
      </w:r>
      <w:r w:rsidRPr="007D4E7F">
        <w:rPr>
          <w:rFonts w:eastAsia="SimSun"/>
          <w:sz w:val="22"/>
          <w:lang w:val="en-GB"/>
        </w:rPr>
        <w:tab/>
      </w:r>
      <w:r w:rsidRPr="007D4E7F">
        <w:rPr>
          <w:rFonts w:eastAsia="SimSun"/>
          <w:sz w:val="22"/>
          <w:u w:val="single"/>
          <w:lang w:val="en-GB"/>
        </w:rPr>
        <w:tab/>
      </w:r>
    </w:p>
    <w:p w14:paraId="4DBB01FA" w14:textId="77777777" w:rsidR="00FE6C6E" w:rsidRPr="007D4E7F" w:rsidRDefault="00201EFA" w:rsidP="00FE6C6E">
      <w:pPr>
        <w:tabs>
          <w:tab w:val="left" w:pos="5103"/>
          <w:tab w:val="left" w:pos="8789"/>
        </w:tabs>
        <w:spacing w:before="240" w:after="0" w:line="260" w:lineRule="atLeast"/>
        <w:jc w:val="both"/>
        <w:rPr>
          <w:rFonts w:eastAsia="SimSun"/>
          <w:sz w:val="22"/>
          <w:lang w:val="en-GB"/>
        </w:rPr>
      </w:pPr>
      <w:r w:rsidRPr="007D4E7F">
        <w:rPr>
          <w:rFonts w:eastAsia="SimSun"/>
          <w:sz w:val="22"/>
          <w:lang w:val="en-GB"/>
        </w:rPr>
        <w:t>Full legal name of Named Person:</w:t>
      </w:r>
      <w:r>
        <w:rPr>
          <w:rFonts w:eastAsia="SimSun"/>
          <w:sz w:val="22"/>
          <w:vertAlign w:val="superscript"/>
          <w:lang w:val="en-GB"/>
        </w:rPr>
        <w:footnoteReference w:id="3"/>
      </w:r>
      <w:r w:rsidRPr="007D4E7F">
        <w:rPr>
          <w:rFonts w:eastAsia="SimSun"/>
          <w:sz w:val="22"/>
          <w:lang w:val="en-GB"/>
        </w:rPr>
        <w:t xml:space="preserve"> </w:t>
      </w:r>
      <w:r w:rsidRPr="007D4E7F">
        <w:rPr>
          <w:rFonts w:eastAsia="SimSun"/>
          <w:sz w:val="22"/>
          <w:lang w:val="en-GB"/>
        </w:rPr>
        <w:tab/>
      </w:r>
      <w:r w:rsidRPr="007D4E7F">
        <w:rPr>
          <w:rFonts w:eastAsia="SimSun"/>
          <w:sz w:val="22"/>
          <w:u w:val="single"/>
          <w:lang w:val="en-GB"/>
        </w:rPr>
        <w:tab/>
      </w:r>
    </w:p>
    <w:p w14:paraId="1A47B9E0" w14:textId="77777777" w:rsidR="00FE6C6E" w:rsidRPr="00060EAA" w:rsidRDefault="00201EFA" w:rsidP="00060EAA">
      <w:pPr>
        <w:shd w:val="clear" w:color="auto" w:fill="D9D9D9" w:themeFill="background1" w:themeFillShade="D9"/>
        <w:tabs>
          <w:tab w:val="left" w:pos="5103"/>
          <w:tab w:val="left" w:pos="8789"/>
        </w:tabs>
        <w:spacing w:after="0" w:line="260" w:lineRule="atLeast"/>
        <w:jc w:val="both"/>
        <w:rPr>
          <w:sz w:val="22"/>
        </w:rPr>
      </w:pPr>
      <w:r w:rsidRPr="00060EAA">
        <w:rPr>
          <w:sz w:val="22"/>
          <w:lang w:val="en-GB"/>
        </w:rPr>
        <w:t>Insert</w:t>
      </w:r>
      <w:r w:rsidRPr="00060EAA">
        <w:rPr>
          <w:sz w:val="22"/>
        </w:rPr>
        <w:t xml:space="preserve"> name of legal entity that is the counterparty to which the representations in this Letter relate.  For example, if the counterparty is ABC Corporation, insert “ABC Corporation” and </w:t>
      </w:r>
      <w:r w:rsidRPr="00060EAA">
        <w:rPr>
          <w:b/>
          <w:bCs/>
          <w:sz w:val="22"/>
        </w:rPr>
        <w:t>NOT</w:t>
      </w:r>
      <w:r w:rsidRPr="00060EAA">
        <w:rPr>
          <w:sz w:val="22"/>
        </w:rPr>
        <w:t xml:space="preserve"> the name of the individual signing this Letter. </w:t>
      </w:r>
    </w:p>
    <w:p w14:paraId="4CB288FC" w14:textId="77777777" w:rsidR="00FE6C6E" w:rsidRPr="007D4E7F" w:rsidRDefault="00201EFA" w:rsidP="00FE6C6E">
      <w:pPr>
        <w:tabs>
          <w:tab w:val="left" w:pos="5103"/>
          <w:tab w:val="left" w:pos="8789"/>
        </w:tabs>
        <w:spacing w:before="240" w:after="0" w:line="260" w:lineRule="atLeast"/>
        <w:jc w:val="both"/>
        <w:rPr>
          <w:rFonts w:eastAsia="SimSun"/>
          <w:sz w:val="22"/>
          <w:u w:val="single"/>
          <w:lang w:val="en-GB"/>
        </w:rPr>
      </w:pPr>
      <w:r w:rsidRPr="007D4E7F">
        <w:rPr>
          <w:rFonts w:eastAsia="SimSun"/>
          <w:sz w:val="22"/>
          <w:lang w:val="en-GB"/>
        </w:rPr>
        <w:t>L</w:t>
      </w:r>
      <w:r>
        <w:rPr>
          <w:rFonts w:eastAsia="SimSun"/>
          <w:sz w:val="22"/>
          <w:lang w:val="en-GB"/>
        </w:rPr>
        <w:t xml:space="preserve">egal Entity Identifier (LEI) </w:t>
      </w:r>
      <w:r w:rsidRPr="007D4E7F">
        <w:rPr>
          <w:rFonts w:eastAsia="SimSun"/>
          <w:sz w:val="22"/>
          <w:lang w:val="en-GB"/>
        </w:rPr>
        <w:t>of Named Person:</w:t>
      </w:r>
      <w:r w:rsidRPr="007D4E7F">
        <w:rPr>
          <w:rFonts w:eastAsia="SimSun"/>
          <w:sz w:val="22"/>
          <w:lang w:val="en-GB"/>
        </w:rPr>
        <w:tab/>
      </w:r>
      <w:r w:rsidRPr="007D4E7F">
        <w:rPr>
          <w:rFonts w:eastAsia="SimSun"/>
          <w:sz w:val="22"/>
          <w:u w:val="single"/>
          <w:lang w:val="en-GB"/>
        </w:rPr>
        <w:tab/>
      </w:r>
    </w:p>
    <w:p w14:paraId="783E17BD" w14:textId="77777777" w:rsidR="00FE6C6E" w:rsidRPr="007D4E7F" w:rsidRDefault="00201EFA" w:rsidP="00FE6C6E">
      <w:pPr>
        <w:tabs>
          <w:tab w:val="left" w:pos="5103"/>
          <w:tab w:val="left" w:pos="8789"/>
        </w:tabs>
        <w:spacing w:before="240" w:after="0" w:line="260" w:lineRule="atLeast"/>
        <w:jc w:val="both"/>
        <w:rPr>
          <w:rFonts w:eastAsia="SimSun"/>
          <w:sz w:val="22"/>
          <w:lang w:val="en-GB"/>
        </w:rPr>
      </w:pPr>
      <w:r w:rsidRPr="007D4E7F">
        <w:rPr>
          <w:rFonts w:eastAsia="SimSun"/>
          <w:sz w:val="22"/>
          <w:lang w:val="en-GB"/>
        </w:rPr>
        <w:t>[Alternative Identifier of Named Person:</w:t>
      </w:r>
      <w:r w:rsidRPr="007D4E7F">
        <w:rPr>
          <w:rFonts w:eastAsia="SimSun"/>
          <w:sz w:val="22"/>
          <w:lang w:val="en-GB"/>
        </w:rPr>
        <w:tab/>
      </w:r>
      <w:r w:rsidRPr="007D4E7F">
        <w:rPr>
          <w:rFonts w:eastAsia="SimSun"/>
          <w:sz w:val="22"/>
          <w:u w:val="single"/>
          <w:lang w:val="en-GB"/>
        </w:rPr>
        <w:tab/>
      </w:r>
      <w:r w:rsidRPr="007D4E7F">
        <w:rPr>
          <w:rFonts w:eastAsia="SimSun"/>
          <w:sz w:val="22"/>
          <w:lang w:val="en-GB"/>
        </w:rPr>
        <w:t>]</w:t>
      </w:r>
      <w:r>
        <w:rPr>
          <w:rFonts w:eastAsia="SimSun"/>
          <w:sz w:val="22"/>
          <w:vertAlign w:val="superscript"/>
          <w:lang w:val="en-GB"/>
        </w:rPr>
        <w:footnoteReference w:id="4"/>
      </w:r>
    </w:p>
    <w:p w14:paraId="0121B8F5" w14:textId="77777777" w:rsidR="00FE6C6E" w:rsidRPr="007D4E7F" w:rsidRDefault="00201EFA" w:rsidP="00FE6C6E">
      <w:pPr>
        <w:tabs>
          <w:tab w:val="left" w:pos="5103"/>
          <w:tab w:val="left" w:pos="8789"/>
        </w:tabs>
        <w:spacing w:before="240" w:after="0" w:line="260" w:lineRule="atLeast"/>
        <w:rPr>
          <w:rFonts w:eastAsia="SimSun"/>
          <w:sz w:val="22"/>
          <w:lang w:val="en-GB"/>
        </w:rPr>
      </w:pPr>
      <w:r w:rsidRPr="007D4E7F">
        <w:rPr>
          <w:rFonts w:eastAsia="SimSun"/>
          <w:sz w:val="22"/>
          <w:lang w:val="en-GB"/>
        </w:rPr>
        <w:t xml:space="preserve">If applicable, full legal name of the agent or mandatary, </w:t>
      </w:r>
    </w:p>
    <w:p w14:paraId="05C135E5" w14:textId="77777777" w:rsidR="00FE6C6E" w:rsidRPr="007D4E7F" w:rsidRDefault="00201EFA" w:rsidP="00FE6C6E">
      <w:pPr>
        <w:tabs>
          <w:tab w:val="left" w:pos="5103"/>
          <w:tab w:val="left" w:pos="8789"/>
        </w:tabs>
        <w:spacing w:after="0" w:line="260" w:lineRule="atLeast"/>
        <w:rPr>
          <w:rFonts w:eastAsia="SimSun"/>
          <w:sz w:val="22"/>
          <w:lang w:val="en-GB"/>
        </w:rPr>
      </w:pPr>
      <w:r w:rsidRPr="007D4E7F">
        <w:rPr>
          <w:rFonts w:eastAsia="SimSun"/>
          <w:sz w:val="22"/>
          <w:lang w:val="en-GB"/>
        </w:rPr>
        <w:t>acting on behalf of Named Person:</w:t>
      </w:r>
      <w:r>
        <w:rPr>
          <w:rFonts w:eastAsia="SimSun"/>
          <w:sz w:val="22"/>
          <w:vertAlign w:val="superscript"/>
          <w:lang w:val="en-GB"/>
        </w:rPr>
        <w:footnoteReference w:id="5"/>
      </w:r>
      <w:r w:rsidRPr="007D4E7F">
        <w:rPr>
          <w:rFonts w:eastAsia="SimSun"/>
          <w:sz w:val="22"/>
          <w:lang w:val="en-GB"/>
        </w:rPr>
        <w:tab/>
      </w:r>
      <w:r w:rsidRPr="007D4E7F">
        <w:rPr>
          <w:rFonts w:eastAsia="SimSun"/>
          <w:sz w:val="22"/>
          <w:u w:val="single"/>
          <w:lang w:val="en-GB"/>
        </w:rPr>
        <w:tab/>
      </w:r>
    </w:p>
    <w:p w14:paraId="603D5015" w14:textId="77777777" w:rsidR="00FE6C6E" w:rsidRPr="007D4E7F" w:rsidRDefault="00201EFA" w:rsidP="00FE6C6E">
      <w:pPr>
        <w:tabs>
          <w:tab w:val="left" w:pos="5103"/>
          <w:tab w:val="left" w:pos="8789"/>
        </w:tabs>
        <w:spacing w:before="240" w:after="0" w:line="260" w:lineRule="atLeast"/>
        <w:jc w:val="both"/>
        <w:rPr>
          <w:rFonts w:eastAsia="SimSun"/>
          <w:sz w:val="22"/>
          <w:lang w:val="en-GB"/>
        </w:rPr>
      </w:pPr>
      <w:r w:rsidRPr="007D4E7F">
        <w:rPr>
          <w:rFonts w:eastAsia="SimSun"/>
          <w:sz w:val="22"/>
          <w:lang w:val="en-GB"/>
        </w:rPr>
        <w:t>Signature:</w:t>
      </w:r>
      <w:r w:rsidRPr="007D4E7F">
        <w:rPr>
          <w:rFonts w:eastAsia="SimSun"/>
          <w:sz w:val="22"/>
          <w:lang w:val="en-GB"/>
        </w:rPr>
        <w:tab/>
      </w:r>
      <w:r w:rsidRPr="007D4E7F">
        <w:rPr>
          <w:rFonts w:eastAsia="SimSun"/>
          <w:sz w:val="22"/>
          <w:u w:val="single"/>
          <w:lang w:val="en-GB"/>
        </w:rPr>
        <w:tab/>
      </w:r>
    </w:p>
    <w:p w14:paraId="2B361C51" w14:textId="77777777" w:rsidR="00FE6C6E" w:rsidRPr="007D4E7F" w:rsidRDefault="00201EFA" w:rsidP="00FE6C6E">
      <w:pPr>
        <w:tabs>
          <w:tab w:val="left" w:pos="5103"/>
          <w:tab w:val="left" w:pos="8789"/>
        </w:tabs>
        <w:spacing w:before="240" w:after="0" w:line="260" w:lineRule="atLeast"/>
        <w:jc w:val="both"/>
        <w:rPr>
          <w:rFonts w:eastAsia="SimSun"/>
          <w:sz w:val="22"/>
          <w:lang w:val="en-GB"/>
        </w:rPr>
      </w:pPr>
      <w:r w:rsidRPr="007D4E7F">
        <w:rPr>
          <w:rFonts w:eastAsia="SimSun"/>
          <w:sz w:val="22"/>
          <w:lang w:val="en-GB"/>
        </w:rPr>
        <w:t>Name of signatory:</w:t>
      </w:r>
      <w:r w:rsidRPr="007D4E7F">
        <w:rPr>
          <w:rFonts w:eastAsia="SimSun"/>
          <w:sz w:val="22"/>
          <w:lang w:val="en-GB"/>
        </w:rPr>
        <w:tab/>
      </w:r>
      <w:r w:rsidRPr="007D4E7F">
        <w:rPr>
          <w:rFonts w:eastAsia="SimSun"/>
          <w:sz w:val="22"/>
          <w:u w:val="single"/>
          <w:lang w:val="en-GB"/>
        </w:rPr>
        <w:tab/>
      </w:r>
    </w:p>
    <w:p w14:paraId="55E90C1E" w14:textId="77777777" w:rsidR="00FE6C6E" w:rsidRPr="007D4E7F" w:rsidRDefault="00201EFA" w:rsidP="00FE6C6E">
      <w:pPr>
        <w:tabs>
          <w:tab w:val="left" w:pos="5103"/>
          <w:tab w:val="left" w:pos="8789"/>
        </w:tabs>
        <w:spacing w:before="240" w:after="0" w:line="260" w:lineRule="atLeast"/>
        <w:jc w:val="both"/>
        <w:rPr>
          <w:rFonts w:eastAsia="SimSun"/>
          <w:sz w:val="22"/>
          <w:u w:val="single"/>
          <w:lang w:val="en-GB"/>
        </w:rPr>
      </w:pPr>
      <w:r w:rsidRPr="007D4E7F">
        <w:rPr>
          <w:rFonts w:eastAsia="SimSun"/>
          <w:sz w:val="22"/>
          <w:lang w:val="en-GB"/>
        </w:rPr>
        <w:t>Title of signatory:</w:t>
      </w:r>
      <w:r w:rsidRPr="007D4E7F">
        <w:rPr>
          <w:rFonts w:eastAsia="SimSun"/>
          <w:sz w:val="22"/>
          <w:lang w:val="en-GB"/>
        </w:rPr>
        <w:tab/>
      </w:r>
      <w:r w:rsidRPr="007D4E7F">
        <w:rPr>
          <w:rFonts w:eastAsia="SimSun"/>
          <w:sz w:val="22"/>
          <w:u w:val="single"/>
          <w:lang w:val="en-GB"/>
        </w:rPr>
        <w:tab/>
      </w:r>
    </w:p>
    <w:p w14:paraId="6882B9AE" w14:textId="77777777" w:rsidR="00FE6C6E" w:rsidRPr="007D4E7F" w:rsidRDefault="00FE6C6E" w:rsidP="00FE6C6E">
      <w:pPr>
        <w:spacing w:after="0" w:line="240" w:lineRule="auto"/>
        <w:ind w:right="187"/>
        <w:jc w:val="both"/>
        <w:rPr>
          <w:b/>
          <w:sz w:val="22"/>
          <w:u w:val="single"/>
        </w:rPr>
      </w:pPr>
    </w:p>
    <w:p w14:paraId="7A1A3FCB" w14:textId="77777777" w:rsidR="00FE6C6E" w:rsidRPr="007D4E7F" w:rsidRDefault="00201EFA" w:rsidP="00FE6C6E">
      <w:pPr>
        <w:spacing w:after="0" w:line="240" w:lineRule="auto"/>
        <w:ind w:right="187"/>
        <w:jc w:val="both"/>
        <w:rPr>
          <w:b/>
          <w:sz w:val="22"/>
          <w:u w:val="single"/>
        </w:rPr>
      </w:pPr>
      <w:r w:rsidRPr="007D4E7F">
        <w:rPr>
          <w:b/>
          <w:sz w:val="22"/>
          <w:u w:val="single"/>
        </w:rPr>
        <w:br w:type="page"/>
      </w:r>
    </w:p>
    <w:p w14:paraId="5C0E4B0D" w14:textId="77777777" w:rsidR="00FE6C6E" w:rsidRPr="007D4E7F" w:rsidRDefault="00201EFA" w:rsidP="00FE6C6E">
      <w:pPr>
        <w:spacing w:after="0" w:line="240" w:lineRule="auto"/>
        <w:ind w:right="187"/>
        <w:jc w:val="both"/>
        <w:rPr>
          <w:b/>
          <w:sz w:val="22"/>
          <w:u w:val="single"/>
        </w:rPr>
      </w:pPr>
      <w:r w:rsidRPr="007D4E7F">
        <w:rPr>
          <w:b/>
          <w:sz w:val="22"/>
          <w:u w:val="single"/>
        </w:rPr>
        <w:lastRenderedPageBreak/>
        <w:t xml:space="preserve">INTRODUCTION: </w:t>
      </w:r>
    </w:p>
    <w:p w14:paraId="2B6218C0" w14:textId="77777777" w:rsidR="00FE6C6E" w:rsidRPr="007D4E7F" w:rsidRDefault="00FE6C6E" w:rsidP="00FE6C6E">
      <w:pPr>
        <w:spacing w:after="0" w:line="240" w:lineRule="auto"/>
        <w:ind w:right="187"/>
        <w:jc w:val="both"/>
        <w:rPr>
          <w:sz w:val="22"/>
        </w:rPr>
      </w:pPr>
    </w:p>
    <w:p w14:paraId="6D5C4E38" w14:textId="77777777" w:rsidR="00FE6C6E" w:rsidRPr="007D4E7F" w:rsidRDefault="00201EFA" w:rsidP="00FE6C6E">
      <w:pPr>
        <w:spacing w:after="0" w:line="240" w:lineRule="auto"/>
        <w:ind w:right="187"/>
        <w:jc w:val="both"/>
        <w:rPr>
          <w:sz w:val="22"/>
        </w:rPr>
      </w:pPr>
      <w:r w:rsidRPr="007D4E7F">
        <w:rPr>
          <w:sz w:val="22"/>
        </w:rPr>
        <w:t>The securities regulators of Alberta, Saskatchewan, Manitoba, Ontario, Québec, New Brunswick, Nova Scotia, Prince Edward Island</w:t>
      </w:r>
      <w:r>
        <w:rPr>
          <w:sz w:val="22"/>
        </w:rPr>
        <w:t xml:space="preserve">, </w:t>
      </w:r>
      <w:r w:rsidRPr="007D4E7F">
        <w:rPr>
          <w:sz w:val="22"/>
        </w:rPr>
        <w:t>Newfoundland and Labrador</w:t>
      </w:r>
      <w:r>
        <w:rPr>
          <w:sz w:val="22"/>
        </w:rPr>
        <w:t xml:space="preserve">, </w:t>
      </w:r>
      <w:r w:rsidRPr="00350D80">
        <w:rPr>
          <w:sz w:val="22"/>
        </w:rPr>
        <w:t>Northwest Territories, Yukon and Nunavut</w:t>
      </w:r>
      <w:r w:rsidRPr="007D4E7F">
        <w:rPr>
          <w:sz w:val="22"/>
        </w:rPr>
        <w:t xml:space="preserve"> published </w:t>
      </w:r>
      <w:bookmarkStart w:id="1" w:name="_Hlk147239635"/>
      <w:r w:rsidRPr="007D4E7F">
        <w:rPr>
          <w:sz w:val="22"/>
        </w:rPr>
        <w:t xml:space="preserve">Multilateral Instrument 93-101 </w:t>
      </w:r>
      <w:r w:rsidRPr="007D4E7F">
        <w:rPr>
          <w:i/>
          <w:iCs/>
          <w:sz w:val="22"/>
        </w:rPr>
        <w:t>Derivatives: Business Conduct</w:t>
      </w:r>
      <w:bookmarkEnd w:id="1"/>
      <w:r w:rsidRPr="007D4E7F">
        <w:rPr>
          <w:sz w:val="22"/>
        </w:rPr>
        <w:t xml:space="preserve"> (“</w:t>
      </w:r>
      <w:r w:rsidRPr="007D4E7F">
        <w:rPr>
          <w:b/>
          <w:bCs/>
          <w:sz w:val="22"/>
        </w:rPr>
        <w:t>MI 93-101</w:t>
      </w:r>
      <w:r w:rsidRPr="007D4E7F">
        <w:rPr>
          <w:sz w:val="22"/>
        </w:rPr>
        <w:t xml:space="preserve">”) setting forth certain business conduct obligations of “derivatives dealers” and “derivatives advisers”. Such securities regulators have also published </w:t>
      </w:r>
      <w:hyperlink r:id="rId11" w:history="1">
        <w:r w:rsidR="00FE6C6E" w:rsidRPr="00CD45B1">
          <w:rPr>
            <w:rStyle w:val="Hyperlink"/>
            <w:sz w:val="22"/>
          </w:rPr>
          <w:t xml:space="preserve">Companion Policy 93-101CP </w:t>
        </w:r>
        <w:r w:rsidR="00FE6C6E" w:rsidRPr="00CD45B1">
          <w:rPr>
            <w:rStyle w:val="Hyperlink"/>
            <w:i/>
            <w:iCs/>
            <w:sz w:val="22"/>
          </w:rPr>
          <w:t>Derivatives: Business Conduct</w:t>
        </w:r>
      </w:hyperlink>
      <w:r w:rsidRPr="007D4E7F">
        <w:rPr>
          <w:sz w:val="22"/>
        </w:rPr>
        <w:t xml:space="preserve"> with respect to MI 93-101</w:t>
      </w:r>
      <w:r>
        <w:rPr>
          <w:sz w:val="22"/>
        </w:rPr>
        <w:t xml:space="preserve"> (the “</w:t>
      </w:r>
      <w:r>
        <w:rPr>
          <w:b/>
          <w:bCs/>
          <w:sz w:val="22"/>
        </w:rPr>
        <w:t>Companion Policy</w:t>
      </w:r>
      <w:r>
        <w:rPr>
          <w:sz w:val="22"/>
        </w:rPr>
        <w:t>”)</w:t>
      </w:r>
      <w:r w:rsidRPr="007D4E7F">
        <w:rPr>
          <w:sz w:val="22"/>
        </w:rPr>
        <w:t>. In these jurisdictions, MI 93-101 comes into force on September 28, 2024.</w:t>
      </w:r>
      <w:r>
        <w:rPr>
          <w:rStyle w:val="FootnoteReference"/>
          <w:sz w:val="22"/>
        </w:rPr>
        <w:footnoteReference w:id="6"/>
      </w:r>
      <w:r w:rsidRPr="007D4E7F">
        <w:rPr>
          <w:sz w:val="22"/>
        </w:rPr>
        <w:t xml:space="preserve"> </w:t>
      </w:r>
    </w:p>
    <w:p w14:paraId="0931BDB2" w14:textId="77777777" w:rsidR="00FE6C6E" w:rsidRPr="007D4E7F" w:rsidRDefault="00FE6C6E" w:rsidP="00FE6C6E">
      <w:pPr>
        <w:spacing w:after="0" w:line="240" w:lineRule="auto"/>
        <w:ind w:right="187"/>
        <w:jc w:val="both"/>
        <w:rPr>
          <w:sz w:val="22"/>
        </w:rPr>
      </w:pPr>
    </w:p>
    <w:p w14:paraId="5447192C" w14:textId="77777777" w:rsidR="00FE6C6E" w:rsidRDefault="00201EFA" w:rsidP="00FE6C6E">
      <w:pPr>
        <w:spacing w:after="0" w:line="240" w:lineRule="auto"/>
        <w:ind w:right="187"/>
        <w:jc w:val="both"/>
        <w:rPr>
          <w:rFonts w:eastAsia="Times New Roman"/>
          <w:sz w:val="22"/>
        </w:rPr>
      </w:pPr>
      <w:r w:rsidRPr="007D4E7F">
        <w:rPr>
          <w:rFonts w:eastAsia="Times New Roman"/>
          <w:sz w:val="22"/>
        </w:rPr>
        <w:t xml:space="preserve">The British Columbia Securities Commission intends to adopt a substantially similar rule, at which time the Canadian Securities Administrators </w:t>
      </w:r>
      <w:r>
        <w:rPr>
          <w:rFonts w:eastAsia="Times New Roman"/>
          <w:sz w:val="22"/>
        </w:rPr>
        <w:t>(“</w:t>
      </w:r>
      <w:r>
        <w:rPr>
          <w:rFonts w:eastAsia="Times New Roman"/>
          <w:b/>
          <w:bCs/>
          <w:sz w:val="22"/>
        </w:rPr>
        <w:t>CSA</w:t>
      </w:r>
      <w:r>
        <w:rPr>
          <w:rFonts w:eastAsia="Times New Roman"/>
          <w:sz w:val="22"/>
        </w:rPr>
        <w:t xml:space="preserve">”) </w:t>
      </w:r>
      <w:r w:rsidRPr="007D4E7F">
        <w:rPr>
          <w:rFonts w:eastAsia="Times New Roman"/>
          <w:sz w:val="22"/>
        </w:rPr>
        <w:t xml:space="preserve">staff intends for </w:t>
      </w:r>
      <w:r w:rsidRPr="007D4E7F">
        <w:rPr>
          <w:sz w:val="22"/>
        </w:rPr>
        <w:t xml:space="preserve">Multilateral Instrument 93-101 </w:t>
      </w:r>
      <w:r w:rsidRPr="007D4E7F">
        <w:rPr>
          <w:i/>
          <w:iCs/>
          <w:sz w:val="22"/>
        </w:rPr>
        <w:t>Derivatives: Business Conduct</w:t>
      </w:r>
      <w:r w:rsidRPr="007D4E7F">
        <w:rPr>
          <w:rFonts w:eastAsia="Times New Roman"/>
          <w:sz w:val="22"/>
        </w:rPr>
        <w:t xml:space="preserve"> to be converted to a national instrument</w:t>
      </w:r>
      <w:r>
        <w:rPr>
          <w:rFonts w:eastAsia="Times New Roman"/>
          <w:sz w:val="22"/>
        </w:rPr>
        <w:t>.</w:t>
      </w:r>
    </w:p>
    <w:p w14:paraId="469DA013" w14:textId="77777777" w:rsidR="00FE6C6E" w:rsidRDefault="00FE6C6E" w:rsidP="00FE6C6E">
      <w:pPr>
        <w:spacing w:after="0" w:line="240" w:lineRule="auto"/>
        <w:ind w:right="187"/>
        <w:jc w:val="both"/>
        <w:rPr>
          <w:rFonts w:eastAsia="Times New Roman"/>
          <w:sz w:val="22"/>
        </w:rPr>
      </w:pPr>
    </w:p>
    <w:p w14:paraId="2812D2BE" w14:textId="77777777" w:rsidR="00FE6C6E" w:rsidRPr="007B68D1" w:rsidRDefault="00201EFA" w:rsidP="00FE6C6E">
      <w:pPr>
        <w:shd w:val="clear" w:color="auto" w:fill="D9D9D9" w:themeFill="background1" w:themeFillShade="D9"/>
        <w:spacing w:after="0" w:line="240" w:lineRule="auto"/>
        <w:ind w:right="187"/>
        <w:jc w:val="both"/>
        <w:rPr>
          <w:rFonts w:eastAsia="Times New Roman"/>
          <w:b/>
          <w:bCs/>
          <w:sz w:val="22"/>
        </w:rPr>
      </w:pPr>
      <w:r w:rsidRPr="00CD45B1">
        <w:rPr>
          <w:rFonts w:eastAsia="Times New Roman"/>
          <w:sz w:val="22"/>
        </w:rPr>
        <w:t xml:space="preserve">On July 11, 2024, the British Columbia Securities Commission </w:t>
      </w:r>
      <w:hyperlink r:id="rId12" w:history="1">
        <w:r w:rsidR="00FE6C6E" w:rsidRPr="00CD45B1">
          <w:rPr>
            <w:rStyle w:val="Hyperlink"/>
            <w:rFonts w:eastAsia="Times New Roman"/>
            <w:sz w:val="22"/>
          </w:rPr>
          <w:t>published advanced notice</w:t>
        </w:r>
      </w:hyperlink>
      <w:r w:rsidRPr="00CD45B1">
        <w:rPr>
          <w:rFonts w:eastAsia="Times New Roman"/>
          <w:sz w:val="22"/>
        </w:rPr>
        <w:t xml:space="preserve"> of its adoption of </w:t>
      </w:r>
      <w:r>
        <w:rPr>
          <w:rFonts w:eastAsia="Times New Roman"/>
          <w:sz w:val="22"/>
        </w:rPr>
        <w:t>MI 93-101 and the Companion Policy</w:t>
      </w:r>
      <w:r w:rsidRPr="00CD45B1">
        <w:rPr>
          <w:rFonts w:eastAsia="Times New Roman"/>
          <w:sz w:val="22"/>
        </w:rPr>
        <w:t xml:space="preserve">, and, </w:t>
      </w:r>
      <w:r>
        <w:rPr>
          <w:rFonts w:eastAsia="Times New Roman"/>
          <w:sz w:val="22"/>
        </w:rPr>
        <w:t xml:space="preserve">subject to </w:t>
      </w:r>
      <w:r w:rsidRPr="00CD45B1">
        <w:rPr>
          <w:rFonts w:eastAsia="Times New Roman"/>
          <w:sz w:val="22"/>
        </w:rPr>
        <w:t xml:space="preserve">approval by British Columbia’s Minister of Finance, </w:t>
      </w:r>
      <w:r>
        <w:rPr>
          <w:rFonts w:eastAsia="Times New Roman"/>
          <w:sz w:val="22"/>
        </w:rPr>
        <w:t>MI 93-101</w:t>
      </w:r>
      <w:r w:rsidRPr="00CD45B1">
        <w:rPr>
          <w:rFonts w:eastAsia="Times New Roman"/>
          <w:sz w:val="22"/>
        </w:rPr>
        <w:t xml:space="preserve"> will be </w:t>
      </w:r>
      <w:r>
        <w:rPr>
          <w:rFonts w:eastAsia="Times New Roman"/>
          <w:sz w:val="22"/>
        </w:rPr>
        <w:t xml:space="preserve">converted to </w:t>
      </w:r>
      <w:r w:rsidRPr="00CD45B1">
        <w:rPr>
          <w:rFonts w:eastAsia="Times New Roman"/>
          <w:sz w:val="22"/>
        </w:rPr>
        <w:t xml:space="preserve">National Instrument 93-101 </w:t>
      </w:r>
      <w:r w:rsidRPr="00CD45B1">
        <w:rPr>
          <w:rFonts w:eastAsia="Times New Roman"/>
          <w:i/>
          <w:iCs/>
          <w:sz w:val="22"/>
        </w:rPr>
        <w:t>Derivatives: Business Conduct</w:t>
      </w:r>
      <w:r w:rsidRPr="00CD45B1">
        <w:rPr>
          <w:rFonts w:eastAsia="Times New Roman"/>
          <w:sz w:val="22"/>
        </w:rPr>
        <w:t>.</w:t>
      </w:r>
    </w:p>
    <w:p w14:paraId="752B94B1" w14:textId="77777777" w:rsidR="00FE6C6E" w:rsidRPr="007D4E7F" w:rsidRDefault="00FE6C6E" w:rsidP="00FE6C6E">
      <w:pPr>
        <w:spacing w:after="0" w:line="240" w:lineRule="auto"/>
        <w:ind w:right="187"/>
        <w:jc w:val="both"/>
        <w:rPr>
          <w:rFonts w:eastAsia="Times New Roman"/>
          <w:sz w:val="22"/>
        </w:rPr>
      </w:pPr>
    </w:p>
    <w:p w14:paraId="23F44A0E" w14:textId="2E172779" w:rsidR="00FE6C6E" w:rsidRPr="007D4E7F" w:rsidRDefault="00201EFA" w:rsidP="00FE6C6E">
      <w:pPr>
        <w:spacing w:after="0" w:line="240" w:lineRule="auto"/>
        <w:ind w:right="187"/>
        <w:jc w:val="both"/>
        <w:rPr>
          <w:rFonts w:eastAsia="Times New Roman"/>
          <w:sz w:val="22"/>
        </w:rPr>
      </w:pPr>
      <w:r w:rsidRPr="007D4E7F">
        <w:rPr>
          <w:rFonts w:eastAsia="Times New Roman"/>
          <w:sz w:val="22"/>
        </w:rPr>
        <w:t xml:space="preserve">This Letter allows you to provide information needed to assess how the Business Conduct Rule does or may apply to the relationship </w:t>
      </w:r>
      <w:r>
        <w:rPr>
          <w:rFonts w:eastAsia="Times New Roman"/>
          <w:sz w:val="22"/>
        </w:rPr>
        <w:t xml:space="preserve">(including Transactions) </w:t>
      </w:r>
      <w:r w:rsidRPr="007D4E7F">
        <w:rPr>
          <w:rFonts w:eastAsia="Times New Roman"/>
          <w:sz w:val="22"/>
        </w:rPr>
        <w:t xml:space="preserve">between </w:t>
      </w:r>
      <w:r>
        <w:rPr>
          <w:rFonts w:eastAsia="Times New Roman"/>
          <w:sz w:val="22"/>
        </w:rPr>
        <w:t>you and the Recipient</w:t>
      </w:r>
      <w:r w:rsidRPr="007D4E7F">
        <w:rPr>
          <w:rFonts w:eastAsia="Times New Roman"/>
          <w:sz w:val="22"/>
        </w:rPr>
        <w:t xml:space="preserve">. Please consider each of the </w:t>
      </w:r>
      <w:r>
        <w:rPr>
          <w:rFonts w:eastAsia="Times New Roman"/>
          <w:sz w:val="22"/>
        </w:rPr>
        <w:t>P</w:t>
      </w:r>
      <w:r w:rsidRPr="007D4E7F">
        <w:rPr>
          <w:rFonts w:eastAsia="Times New Roman"/>
          <w:sz w:val="22"/>
        </w:rPr>
        <w:t>arts of this Letter set out below.</w:t>
      </w:r>
    </w:p>
    <w:p w14:paraId="6DC9C962" w14:textId="77777777" w:rsidR="00FE6C6E" w:rsidRPr="007D4E7F" w:rsidRDefault="00FE6C6E" w:rsidP="00FE6C6E">
      <w:pPr>
        <w:spacing w:after="0" w:line="240" w:lineRule="auto"/>
        <w:ind w:right="187"/>
        <w:jc w:val="both"/>
        <w:rPr>
          <w:rFonts w:eastAsia="Times New Roman"/>
          <w:sz w:val="22"/>
        </w:rPr>
      </w:pPr>
    </w:p>
    <w:p w14:paraId="713FADAF" w14:textId="77777777" w:rsidR="00FE6C6E" w:rsidRDefault="00201EFA" w:rsidP="00FE6C6E">
      <w:pPr>
        <w:spacing w:line="240" w:lineRule="auto"/>
        <w:ind w:right="187"/>
        <w:jc w:val="both"/>
        <w:rPr>
          <w:b/>
          <w:sz w:val="22"/>
          <w:u w:val="single"/>
        </w:rPr>
      </w:pPr>
      <w:r w:rsidRPr="007D4E7F">
        <w:rPr>
          <w:b/>
          <w:sz w:val="22"/>
          <w:u w:val="single"/>
        </w:rPr>
        <w:t>PART I: ELIGIBLE DERIVATIVES PARTY STATUS</w:t>
      </w:r>
    </w:p>
    <w:p w14:paraId="32F700CB" w14:textId="2D790CD5" w:rsidR="00FE6C6E" w:rsidRPr="007F52FF" w:rsidRDefault="00201EFA" w:rsidP="00FE6C6E">
      <w:pPr>
        <w:shd w:val="clear" w:color="auto" w:fill="D9D9D9" w:themeFill="background1" w:themeFillShade="D9"/>
        <w:spacing w:line="240" w:lineRule="auto"/>
        <w:ind w:right="187"/>
        <w:jc w:val="both"/>
        <w:rPr>
          <w:bCs/>
          <w:sz w:val="22"/>
          <w:lang w:val="en-CA"/>
        </w:rPr>
      </w:pPr>
      <w:r>
        <w:rPr>
          <w:bCs/>
          <w:sz w:val="22"/>
          <w:lang w:val="en-CA"/>
        </w:rPr>
        <w:t xml:space="preserve">The Named Person’s response in Part I is intended to allow the Recipient to </w:t>
      </w:r>
      <w:proofErr w:type="gramStart"/>
      <w:r>
        <w:rPr>
          <w:bCs/>
          <w:sz w:val="22"/>
          <w:lang w:val="en-CA"/>
        </w:rPr>
        <w:t>make a determination</w:t>
      </w:r>
      <w:proofErr w:type="gramEnd"/>
      <w:r>
        <w:rPr>
          <w:bCs/>
          <w:sz w:val="22"/>
          <w:lang w:val="en-CA"/>
        </w:rPr>
        <w:t xml:space="preserve"> as to whether the Named Person can be treated as an “eligible derivatives party” (“</w:t>
      </w:r>
      <w:r>
        <w:rPr>
          <w:b/>
          <w:sz w:val="22"/>
          <w:lang w:val="en-CA"/>
        </w:rPr>
        <w:t>EDP</w:t>
      </w:r>
      <w:r>
        <w:rPr>
          <w:bCs/>
          <w:sz w:val="22"/>
          <w:lang w:val="en-CA"/>
        </w:rPr>
        <w:t>”)</w:t>
      </w:r>
      <w:r w:rsidR="00060EAA">
        <w:rPr>
          <w:bCs/>
          <w:sz w:val="22"/>
          <w:lang w:val="en-CA"/>
        </w:rPr>
        <w:t>. EDP (and non-EDP) status allows</w:t>
      </w:r>
      <w:r>
        <w:rPr>
          <w:bCs/>
          <w:sz w:val="22"/>
          <w:lang w:val="en-CA"/>
        </w:rPr>
        <w:t xml:space="preserve"> the Recipient </w:t>
      </w:r>
      <w:r w:rsidR="00060EAA">
        <w:rPr>
          <w:bCs/>
          <w:sz w:val="22"/>
          <w:lang w:val="en-CA"/>
        </w:rPr>
        <w:t xml:space="preserve">to determine the requirements that apply, or exemptions that are available, under </w:t>
      </w:r>
      <w:r w:rsidR="002E0D16">
        <w:rPr>
          <w:bCs/>
          <w:sz w:val="22"/>
          <w:lang w:val="en-CA"/>
        </w:rPr>
        <w:t xml:space="preserve">the </w:t>
      </w:r>
      <w:r>
        <w:rPr>
          <w:bCs/>
          <w:sz w:val="22"/>
          <w:lang w:val="en-CA"/>
        </w:rPr>
        <w:t>Business Conduct Rule</w:t>
      </w:r>
      <w:r w:rsidR="00060EAA">
        <w:rPr>
          <w:bCs/>
          <w:sz w:val="22"/>
          <w:lang w:val="en-CA"/>
        </w:rPr>
        <w:t xml:space="preserve"> for derivatives with the Named Person</w:t>
      </w:r>
      <w:r>
        <w:rPr>
          <w:bCs/>
          <w:sz w:val="22"/>
          <w:lang w:val="en-CA"/>
        </w:rPr>
        <w:t>.</w:t>
      </w:r>
    </w:p>
    <w:tbl>
      <w:tblPr>
        <w:tblStyle w:val="TableGrid"/>
        <w:tblW w:w="101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55"/>
      </w:tblGrid>
      <w:tr w:rsidR="00531E7C" w14:paraId="4627D03B" w14:textId="77777777" w:rsidTr="00A60A21">
        <w:trPr>
          <w:trHeight w:val="628"/>
        </w:trPr>
        <w:tc>
          <w:tcPr>
            <w:tcW w:w="10155" w:type="dxa"/>
          </w:tcPr>
          <w:p w14:paraId="48E64D14" w14:textId="77777777" w:rsidR="00FE6C6E" w:rsidRPr="007D4E7F" w:rsidRDefault="00201EFA" w:rsidP="00A60A21">
            <w:pPr>
              <w:spacing w:after="0"/>
              <w:rPr>
                <w:sz w:val="22"/>
                <w:lang w:val="en-US"/>
              </w:rPr>
            </w:pPr>
            <w:bookmarkStart w:id="2" w:name="_Hlk149979663"/>
            <w:r w:rsidRPr="007D4E7F">
              <w:rPr>
                <w:b/>
                <w:sz w:val="22"/>
                <w:u w:val="single"/>
                <w:lang w:val="en-US"/>
              </w:rPr>
              <w:t>Instructions</w:t>
            </w:r>
            <w:r w:rsidRPr="007D4E7F">
              <w:rPr>
                <w:b/>
                <w:sz w:val="22"/>
                <w:lang w:val="en-US"/>
              </w:rPr>
              <w:t xml:space="preserve">: </w:t>
            </w:r>
            <w:r w:rsidRPr="007D4E7F">
              <w:rPr>
                <w:bCs/>
                <w:sz w:val="22"/>
                <w:lang w:val="en-US"/>
              </w:rPr>
              <w:t>Make the representation</w:t>
            </w:r>
            <w:r>
              <w:rPr>
                <w:bCs/>
                <w:sz w:val="22"/>
                <w:lang w:val="en-US"/>
              </w:rPr>
              <w:t>s</w:t>
            </w:r>
            <w:r w:rsidRPr="007D4E7F">
              <w:rPr>
                <w:bCs/>
                <w:sz w:val="22"/>
                <w:lang w:val="en-US"/>
              </w:rPr>
              <w:t xml:space="preserve"> in item</w:t>
            </w:r>
            <w:r>
              <w:rPr>
                <w:bCs/>
                <w:sz w:val="22"/>
                <w:lang w:val="en-US"/>
              </w:rPr>
              <w:t>s</w:t>
            </w:r>
            <w:r w:rsidRPr="007D4E7F">
              <w:rPr>
                <w:bCs/>
                <w:sz w:val="22"/>
                <w:lang w:val="en-US"/>
              </w:rPr>
              <w:t xml:space="preserve"> 1</w:t>
            </w:r>
            <w:r>
              <w:rPr>
                <w:bCs/>
                <w:sz w:val="22"/>
                <w:lang w:val="en-US"/>
              </w:rPr>
              <w:t>, 2 and 3</w:t>
            </w:r>
            <w:r w:rsidRPr="007D4E7F">
              <w:rPr>
                <w:bCs/>
                <w:sz w:val="22"/>
                <w:lang w:val="en-US"/>
              </w:rPr>
              <w:t xml:space="preserve"> and then follow the subsequent instructions in </w:t>
            </w:r>
            <w:r w:rsidRPr="007D4E7F">
              <w:rPr>
                <w:bCs/>
                <w:i/>
                <w:iCs/>
                <w:color w:val="0070C0"/>
                <w:sz w:val="22"/>
                <w:lang w:val="en-US"/>
              </w:rPr>
              <w:t>blue</w:t>
            </w:r>
            <w:r w:rsidRPr="007D4E7F">
              <w:rPr>
                <w:bCs/>
                <w:color w:val="0070C0"/>
                <w:sz w:val="22"/>
                <w:lang w:val="en-US"/>
              </w:rPr>
              <w:t xml:space="preserve"> </w:t>
            </w:r>
            <w:r w:rsidRPr="007D4E7F">
              <w:rPr>
                <w:bCs/>
                <w:sz w:val="22"/>
                <w:lang w:val="en-US"/>
              </w:rPr>
              <w:t>below</w:t>
            </w:r>
            <w:r>
              <w:rPr>
                <w:bCs/>
                <w:sz w:val="22"/>
                <w:lang w:val="en-US"/>
              </w:rPr>
              <w:t>, which may include completing items 4 and 5</w:t>
            </w:r>
            <w:r w:rsidRPr="007D4E7F">
              <w:rPr>
                <w:bCs/>
                <w:sz w:val="22"/>
                <w:lang w:val="en-US"/>
              </w:rPr>
              <w:t>.</w:t>
            </w:r>
            <w:r w:rsidRPr="007D4E7F">
              <w:rPr>
                <w:sz w:val="22"/>
                <w:lang w:val="en-US"/>
              </w:rPr>
              <w:t xml:space="preserve"> </w:t>
            </w:r>
          </w:p>
        </w:tc>
      </w:tr>
      <w:bookmarkEnd w:id="2"/>
    </w:tbl>
    <w:p w14:paraId="006C4AB8" w14:textId="77777777" w:rsidR="00FE6C6E" w:rsidRPr="002161D0" w:rsidRDefault="00FE6C6E" w:rsidP="00FE6C6E">
      <w:pPr>
        <w:pStyle w:val="ListParagraph"/>
        <w:spacing w:line="240" w:lineRule="auto"/>
        <w:ind w:right="187"/>
        <w:jc w:val="both"/>
        <w:rPr>
          <w:b/>
          <w:sz w:val="22"/>
          <w:u w:val="single"/>
          <w:lang w:val="en-CA"/>
        </w:rPr>
      </w:pPr>
    </w:p>
    <w:p w14:paraId="557B1BCE" w14:textId="77777777" w:rsidR="00FE6C6E" w:rsidRPr="00DE332B" w:rsidRDefault="00201EFA" w:rsidP="00FE6C6E">
      <w:pPr>
        <w:pStyle w:val="ListParagraph"/>
        <w:numPr>
          <w:ilvl w:val="0"/>
          <w:numId w:val="24"/>
        </w:numPr>
        <w:spacing w:line="240" w:lineRule="auto"/>
        <w:ind w:right="187"/>
        <w:jc w:val="both"/>
        <w:rPr>
          <w:b/>
          <w:sz w:val="22"/>
          <w:u w:val="single"/>
          <w:lang w:val="en-CA"/>
        </w:rPr>
      </w:pPr>
      <w:r w:rsidRPr="007D4E7F">
        <w:rPr>
          <w:bCs/>
          <w:sz w:val="22"/>
        </w:rPr>
        <w:t xml:space="preserve">The Named Person represents that </w:t>
      </w:r>
      <w:r>
        <w:rPr>
          <w:bCs/>
          <w:sz w:val="22"/>
        </w:rPr>
        <w:t xml:space="preserve">it is: </w:t>
      </w:r>
    </w:p>
    <w:p w14:paraId="6EE6990F" w14:textId="77777777" w:rsidR="00FE6C6E" w:rsidRPr="00856682" w:rsidRDefault="00201EFA" w:rsidP="00FE6C6E">
      <w:pPr>
        <w:pStyle w:val="ListParagraph"/>
        <w:spacing w:line="240" w:lineRule="auto"/>
        <w:ind w:right="187"/>
        <w:jc w:val="both"/>
        <w:rPr>
          <w:bCs/>
          <w:sz w:val="22"/>
          <w:lang w:val="en-CA"/>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Pr>
          <w:bCs/>
          <w:sz w:val="22"/>
          <w:lang w:val="en-CA"/>
        </w:rPr>
        <w:t xml:space="preserve"> an </w:t>
      </w:r>
      <w:proofErr w:type="gramStart"/>
      <w:r w:rsidRPr="00856682">
        <w:rPr>
          <w:bCs/>
          <w:sz w:val="22"/>
          <w:lang w:val="en-CA"/>
        </w:rPr>
        <w:t>individual;</w:t>
      </w:r>
      <w:proofErr w:type="gramEnd"/>
    </w:p>
    <w:p w14:paraId="1F8AB6FB" w14:textId="77777777" w:rsidR="00FE6C6E" w:rsidRPr="00856682" w:rsidRDefault="00201EFA" w:rsidP="00FE6C6E">
      <w:pPr>
        <w:pStyle w:val="ListParagraph"/>
        <w:spacing w:line="240" w:lineRule="auto"/>
        <w:ind w:right="187"/>
        <w:jc w:val="both"/>
        <w:rPr>
          <w:b/>
          <w:sz w:val="22"/>
          <w:u w:val="single"/>
          <w:lang w:val="en-CA"/>
        </w:rPr>
      </w:pPr>
      <w:r w:rsidRPr="00856682">
        <w:rPr>
          <w:bCs/>
          <w:sz w:val="22"/>
        </w:rPr>
        <w:fldChar w:fldCharType="begin">
          <w:ffData>
            <w:name w:val=""/>
            <w:enabled/>
            <w:calcOnExit w:val="0"/>
            <w:checkBox>
              <w:sizeAuto/>
              <w:default w:val="0"/>
            </w:checkBox>
          </w:ffData>
        </w:fldChar>
      </w:r>
      <w:r w:rsidRPr="00856682">
        <w:rPr>
          <w:bCs/>
          <w:sz w:val="22"/>
        </w:rPr>
        <w:instrText xml:space="preserve"> FORMCHECKBOX </w:instrText>
      </w:r>
      <w:r w:rsidRPr="00856682">
        <w:rPr>
          <w:bCs/>
          <w:sz w:val="22"/>
        </w:rPr>
      </w:r>
      <w:r w:rsidRPr="00856682">
        <w:rPr>
          <w:bCs/>
          <w:sz w:val="22"/>
        </w:rPr>
        <w:fldChar w:fldCharType="separate"/>
      </w:r>
      <w:r w:rsidRPr="00856682">
        <w:rPr>
          <w:bCs/>
          <w:sz w:val="22"/>
          <w:lang w:val="en-CA"/>
        </w:rPr>
        <w:fldChar w:fldCharType="end"/>
      </w:r>
      <w:r w:rsidRPr="00856682">
        <w:rPr>
          <w:bCs/>
          <w:sz w:val="22"/>
          <w:lang w:val="en-CA"/>
        </w:rPr>
        <w:t xml:space="preserve"> not an individual. </w:t>
      </w:r>
    </w:p>
    <w:p w14:paraId="279A8FA1" w14:textId="77777777" w:rsidR="00FE6C6E" w:rsidRPr="00856682" w:rsidRDefault="00FE6C6E" w:rsidP="00FE6C6E">
      <w:pPr>
        <w:pStyle w:val="ListParagraph"/>
        <w:spacing w:line="240" w:lineRule="auto"/>
        <w:ind w:right="187"/>
        <w:jc w:val="both"/>
        <w:rPr>
          <w:b/>
          <w:sz w:val="22"/>
          <w:u w:val="single"/>
          <w:lang w:val="en-CA"/>
        </w:rPr>
      </w:pPr>
    </w:p>
    <w:p w14:paraId="6F84E229" w14:textId="77777777" w:rsidR="00FE6C6E" w:rsidRPr="00856682" w:rsidRDefault="00201EFA" w:rsidP="00FE6C6E">
      <w:pPr>
        <w:pStyle w:val="ListParagraph"/>
        <w:numPr>
          <w:ilvl w:val="0"/>
          <w:numId w:val="24"/>
        </w:numPr>
        <w:spacing w:line="240" w:lineRule="auto"/>
        <w:ind w:right="187"/>
        <w:jc w:val="both"/>
        <w:rPr>
          <w:bCs/>
          <w:i/>
          <w:iCs/>
          <w:sz w:val="22"/>
          <w:lang w:val="en-CA"/>
        </w:rPr>
      </w:pPr>
      <w:r w:rsidRPr="00856682">
        <w:rPr>
          <w:bCs/>
          <w:sz w:val="22"/>
        </w:rPr>
        <w:fldChar w:fldCharType="begin">
          <w:ffData>
            <w:name w:val=""/>
            <w:enabled/>
            <w:calcOnExit w:val="0"/>
            <w:checkBox>
              <w:sizeAuto/>
              <w:default w:val="0"/>
            </w:checkBox>
          </w:ffData>
        </w:fldChar>
      </w:r>
      <w:r w:rsidRPr="00856682">
        <w:rPr>
          <w:bCs/>
          <w:sz w:val="22"/>
        </w:rPr>
        <w:instrText xml:space="preserve"> FORMCHECKBOX </w:instrText>
      </w:r>
      <w:r w:rsidRPr="00856682">
        <w:rPr>
          <w:bCs/>
          <w:sz w:val="22"/>
        </w:rPr>
      </w:r>
      <w:r w:rsidRPr="00856682">
        <w:rPr>
          <w:bCs/>
          <w:sz w:val="22"/>
        </w:rPr>
        <w:fldChar w:fldCharType="separate"/>
      </w:r>
      <w:r w:rsidRPr="00856682">
        <w:rPr>
          <w:bCs/>
          <w:sz w:val="22"/>
          <w:lang w:val="en-CA"/>
        </w:rPr>
        <w:fldChar w:fldCharType="end"/>
      </w:r>
      <w:r w:rsidRPr="00856682">
        <w:rPr>
          <w:bCs/>
          <w:sz w:val="22"/>
          <w:lang w:val="en-CA"/>
        </w:rPr>
        <w:t xml:space="preserve"> </w:t>
      </w:r>
      <w:r w:rsidRPr="00856682">
        <w:rPr>
          <w:bCs/>
          <w:sz w:val="22"/>
        </w:rPr>
        <w:t>The Named Person represents that it is not an</w:t>
      </w:r>
      <w:r w:rsidRPr="00856682">
        <w:rPr>
          <w:bCs/>
          <w:sz w:val="22"/>
          <w:lang w:val="en-CA"/>
        </w:rPr>
        <w:t xml:space="preserve"> Eligible Derivatives Party.  </w:t>
      </w:r>
      <w:r w:rsidRPr="00856682">
        <w:rPr>
          <w:bCs/>
          <w:i/>
          <w:iCs/>
          <w:color w:val="0070C0"/>
          <w:sz w:val="22"/>
          <w:lang w:eastAsia="zh-CN"/>
        </w:rPr>
        <w:t xml:space="preserve">If this box is checked, no further questions are required to be answered. If this box is not checked, proceed to item </w:t>
      </w:r>
      <w:r>
        <w:rPr>
          <w:bCs/>
          <w:i/>
          <w:iCs/>
          <w:color w:val="0070C0"/>
          <w:sz w:val="22"/>
          <w:lang w:eastAsia="zh-CN"/>
        </w:rPr>
        <w:t>3</w:t>
      </w:r>
      <w:r w:rsidRPr="00856682">
        <w:rPr>
          <w:bCs/>
          <w:i/>
          <w:iCs/>
          <w:color w:val="0070C0"/>
          <w:sz w:val="22"/>
          <w:lang w:eastAsia="zh-CN"/>
        </w:rPr>
        <w:t>.</w:t>
      </w:r>
    </w:p>
    <w:p w14:paraId="57E53475" w14:textId="77777777" w:rsidR="00FE6C6E" w:rsidRPr="00856682" w:rsidRDefault="00FE6C6E" w:rsidP="00FE6C6E">
      <w:pPr>
        <w:pStyle w:val="ListParagraph"/>
        <w:spacing w:line="240" w:lineRule="auto"/>
        <w:ind w:right="187"/>
        <w:jc w:val="both"/>
        <w:rPr>
          <w:b/>
          <w:sz w:val="22"/>
          <w:u w:val="single"/>
          <w:lang w:val="en-CA"/>
        </w:rPr>
      </w:pPr>
    </w:p>
    <w:p w14:paraId="0F1A4632" w14:textId="77777777" w:rsidR="00FE6C6E" w:rsidRPr="001C1D00" w:rsidRDefault="00201EFA" w:rsidP="00FE6C6E">
      <w:pPr>
        <w:pStyle w:val="ListParagraph"/>
        <w:numPr>
          <w:ilvl w:val="0"/>
          <w:numId w:val="24"/>
        </w:numPr>
        <w:spacing w:line="240" w:lineRule="auto"/>
        <w:ind w:right="187"/>
        <w:jc w:val="both"/>
        <w:rPr>
          <w:b/>
          <w:sz w:val="22"/>
          <w:u w:val="single"/>
          <w:lang w:val="en-CA"/>
        </w:rPr>
      </w:pPr>
      <w:r w:rsidRPr="007D4E7F">
        <w:rPr>
          <w:bCs/>
          <w:sz w:val="22"/>
        </w:rPr>
        <w:t>The Named Person</w:t>
      </w:r>
      <w:r>
        <w:rPr>
          <w:rStyle w:val="FootnoteReference"/>
          <w:b/>
          <w:sz w:val="22"/>
          <w:u w:val="single"/>
          <w:lang w:val="en-CA"/>
        </w:rPr>
        <w:footnoteReference w:id="7"/>
      </w:r>
      <w:r w:rsidRPr="007D4E7F">
        <w:rPr>
          <w:bCs/>
          <w:sz w:val="22"/>
        </w:rPr>
        <w:t xml:space="preserve"> represents that the following paragraph</w:t>
      </w:r>
      <w:r>
        <w:rPr>
          <w:bCs/>
          <w:sz w:val="22"/>
        </w:rPr>
        <w:t>(</w:t>
      </w:r>
      <w:r w:rsidRPr="007D4E7F">
        <w:rPr>
          <w:bCs/>
          <w:sz w:val="22"/>
        </w:rPr>
        <w:t>s</w:t>
      </w:r>
      <w:r>
        <w:rPr>
          <w:bCs/>
          <w:sz w:val="22"/>
        </w:rPr>
        <w:t>)</w:t>
      </w:r>
      <w:r w:rsidRPr="007D4E7F">
        <w:rPr>
          <w:bCs/>
          <w:sz w:val="22"/>
        </w:rPr>
        <w:t xml:space="preserve"> </w:t>
      </w:r>
      <w:r w:rsidRPr="007D4E7F">
        <w:rPr>
          <w:bCs/>
          <w:sz w:val="22"/>
          <w:lang w:val="en-CA"/>
        </w:rPr>
        <w:t xml:space="preserve">of the definition of Eligible Derivatives Party </w:t>
      </w:r>
      <w:r>
        <w:rPr>
          <w:bCs/>
          <w:sz w:val="22"/>
          <w:lang w:val="en-CA"/>
        </w:rPr>
        <w:t xml:space="preserve">in the Business Conduct Rule </w:t>
      </w:r>
      <w:r w:rsidRPr="007D4E7F">
        <w:rPr>
          <w:bCs/>
          <w:sz w:val="22"/>
          <w:lang w:val="en-CA"/>
        </w:rPr>
        <w:t>apply</w:t>
      </w:r>
      <w:r>
        <w:rPr>
          <w:bCs/>
          <w:sz w:val="22"/>
          <w:lang w:val="en-CA"/>
        </w:rPr>
        <w:t xml:space="preserve"> to it</w:t>
      </w:r>
      <w:r w:rsidRPr="007D4E7F">
        <w:rPr>
          <w:bCs/>
          <w:sz w:val="22"/>
          <w:lang w:val="en-CA"/>
        </w:rPr>
        <w:t>:</w:t>
      </w:r>
    </w:p>
    <w:p w14:paraId="7E03AFE5" w14:textId="77777777" w:rsidR="00FE6C6E" w:rsidRDefault="00FE6C6E" w:rsidP="00FE6C6E">
      <w:pPr>
        <w:pStyle w:val="ListParagraph"/>
        <w:spacing w:line="240" w:lineRule="auto"/>
        <w:ind w:right="187"/>
        <w:jc w:val="both"/>
        <w:rPr>
          <w:bCs/>
          <w:i/>
          <w:iCs/>
          <w:color w:val="0070C0"/>
          <w:sz w:val="22"/>
        </w:rPr>
      </w:pPr>
    </w:p>
    <w:p w14:paraId="6E7FEC2F" w14:textId="77777777" w:rsidR="00FE6C6E" w:rsidRDefault="00201EFA" w:rsidP="00FE6C6E">
      <w:pPr>
        <w:pStyle w:val="ListParagraph"/>
        <w:keepNext/>
        <w:spacing w:line="240" w:lineRule="auto"/>
        <w:ind w:right="187"/>
        <w:jc w:val="both"/>
        <w:rPr>
          <w:bCs/>
          <w:i/>
          <w:iCs/>
          <w:color w:val="0070C0"/>
          <w:sz w:val="22"/>
        </w:rPr>
      </w:pPr>
      <w:r w:rsidRPr="007D4E7F">
        <w:rPr>
          <w:bCs/>
          <w:i/>
          <w:iCs/>
          <w:color w:val="0070C0"/>
          <w:sz w:val="22"/>
        </w:rPr>
        <w:lastRenderedPageBreak/>
        <w:t>Select all that apply.</w:t>
      </w:r>
    </w:p>
    <w:p w14:paraId="3C94BAFD" w14:textId="77777777" w:rsidR="00FE6C6E" w:rsidRDefault="00201EFA" w:rsidP="00FE6C6E">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 xml:space="preserve">(a) a Canadian financial </w:t>
      </w:r>
      <w:proofErr w:type="gramStart"/>
      <w:r w:rsidRPr="007D4E7F">
        <w:rPr>
          <w:sz w:val="22"/>
          <w:szCs w:val="20"/>
        </w:rPr>
        <w:t>institution;</w:t>
      </w:r>
      <w:proofErr w:type="gramEnd"/>
    </w:p>
    <w:p w14:paraId="30D655C0" w14:textId="77777777" w:rsidR="00FE6C6E" w:rsidRPr="007D4E7F" w:rsidRDefault="00201EFA" w:rsidP="00FE6C6E">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 xml:space="preserve">(b)  the Business Development Bank of Canada continued under the </w:t>
      </w:r>
      <w:r w:rsidRPr="007D4E7F">
        <w:rPr>
          <w:i/>
          <w:iCs/>
          <w:sz w:val="22"/>
          <w:szCs w:val="20"/>
        </w:rPr>
        <w:t xml:space="preserve">Business Development Bank of Canada Act </w:t>
      </w:r>
      <w:r w:rsidRPr="007D4E7F">
        <w:rPr>
          <w:sz w:val="22"/>
          <w:szCs w:val="20"/>
        </w:rPr>
        <w:t>(Canada</w:t>
      </w:r>
      <w:proofErr w:type="gramStart"/>
      <w:r w:rsidRPr="007D4E7F">
        <w:rPr>
          <w:sz w:val="22"/>
          <w:szCs w:val="20"/>
        </w:rPr>
        <w:t>);</w:t>
      </w:r>
      <w:proofErr w:type="gramEnd"/>
      <w:r w:rsidRPr="00530F6D">
        <w:rPr>
          <w:sz w:val="22"/>
          <w:szCs w:val="20"/>
        </w:rPr>
        <w:t xml:space="preserve">   </w:t>
      </w:r>
    </w:p>
    <w:p w14:paraId="29A4786C" w14:textId="77777777" w:rsidR="00FE6C6E" w:rsidRPr="007D4E7F" w:rsidRDefault="00201EFA" w:rsidP="00FE6C6E">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 xml:space="preserve">(c) a subsidiary of a person or company referred to in paragraph (a) or (b), if the person or company owns all of the voting securities of the subsidiary, except the voting securities required by law to be owned by directors of the </w:t>
      </w:r>
      <w:proofErr w:type="gramStart"/>
      <w:r w:rsidRPr="007D4E7F">
        <w:rPr>
          <w:sz w:val="22"/>
          <w:szCs w:val="20"/>
        </w:rPr>
        <w:t>subsidiary;</w:t>
      </w:r>
      <w:proofErr w:type="gramEnd"/>
    </w:p>
    <w:p w14:paraId="25ACA0A0" w14:textId="77777777" w:rsidR="00FE6C6E" w:rsidRPr="007D4E7F" w:rsidRDefault="00201EFA" w:rsidP="00FE6C6E">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(d) a person or company registered under the securities legislation of a jurisdiction of Canada as any of the following:</w:t>
      </w:r>
    </w:p>
    <w:p w14:paraId="6A9AE859" w14:textId="77777777" w:rsidR="00FE6C6E" w:rsidRPr="007D4E7F" w:rsidRDefault="00201EFA" w:rsidP="00FE6C6E">
      <w:pPr>
        <w:pStyle w:val="BodyText"/>
        <w:spacing w:before="100" w:beforeAutospacing="1" w:after="0"/>
        <w:ind w:left="1440" w:firstLine="0"/>
        <w:rPr>
          <w:sz w:val="22"/>
          <w:szCs w:val="20"/>
        </w:rPr>
      </w:pPr>
      <w:r w:rsidRPr="007D4E7F">
        <w:rPr>
          <w:sz w:val="22"/>
          <w:szCs w:val="20"/>
        </w:rPr>
        <w:tab/>
        <w:t>(i) a derivatives dealer;</w:t>
      </w:r>
      <w:r w:rsidRPr="007D4E7F">
        <w:rPr>
          <w:sz w:val="22"/>
          <w:szCs w:val="20"/>
        </w:rPr>
        <w:br/>
      </w:r>
      <w:r w:rsidRPr="007D4E7F">
        <w:rPr>
          <w:sz w:val="22"/>
          <w:szCs w:val="20"/>
        </w:rPr>
        <w:tab/>
        <w:t xml:space="preserve">(ii) a derivatives </w:t>
      </w:r>
      <w:proofErr w:type="gramStart"/>
      <w:r w:rsidRPr="007D4E7F">
        <w:rPr>
          <w:sz w:val="22"/>
          <w:szCs w:val="20"/>
        </w:rPr>
        <w:t>adviser;</w:t>
      </w:r>
      <w:proofErr w:type="gramEnd"/>
    </w:p>
    <w:p w14:paraId="53D09072" w14:textId="77777777" w:rsidR="00FE6C6E" w:rsidRPr="007D4E7F" w:rsidRDefault="00201EFA" w:rsidP="00FE6C6E">
      <w:pPr>
        <w:pStyle w:val="BodyText"/>
        <w:spacing w:after="0"/>
        <w:ind w:left="1440"/>
        <w:rPr>
          <w:sz w:val="22"/>
          <w:szCs w:val="20"/>
        </w:rPr>
      </w:pPr>
      <w:r w:rsidRPr="007D4E7F">
        <w:rPr>
          <w:sz w:val="22"/>
          <w:szCs w:val="20"/>
        </w:rPr>
        <w:t xml:space="preserve">(iii) an </w:t>
      </w:r>
      <w:proofErr w:type="gramStart"/>
      <w:r w:rsidRPr="007D4E7F">
        <w:rPr>
          <w:sz w:val="22"/>
          <w:szCs w:val="20"/>
        </w:rPr>
        <w:t>adviser;</w:t>
      </w:r>
      <w:proofErr w:type="gramEnd"/>
    </w:p>
    <w:p w14:paraId="034257C2" w14:textId="77777777" w:rsidR="00FE6C6E" w:rsidRPr="007D4E7F" w:rsidRDefault="00201EFA" w:rsidP="00FE6C6E">
      <w:pPr>
        <w:pStyle w:val="BodyText"/>
        <w:spacing w:after="100" w:afterAutospacing="1"/>
        <w:ind w:left="1440"/>
        <w:rPr>
          <w:sz w:val="22"/>
          <w:szCs w:val="20"/>
        </w:rPr>
      </w:pPr>
      <w:r w:rsidRPr="007D4E7F">
        <w:rPr>
          <w:sz w:val="22"/>
          <w:szCs w:val="20"/>
        </w:rPr>
        <w:t xml:space="preserve">(iv) an investment </w:t>
      </w:r>
      <w:proofErr w:type="gramStart"/>
      <w:r w:rsidRPr="007D4E7F">
        <w:rPr>
          <w:sz w:val="22"/>
          <w:szCs w:val="20"/>
        </w:rPr>
        <w:t>dealer;</w:t>
      </w:r>
      <w:proofErr w:type="gramEnd"/>
    </w:p>
    <w:p w14:paraId="232D67FF" w14:textId="77777777" w:rsidR="00FE6C6E" w:rsidRPr="007D4E7F" w:rsidRDefault="00201EFA" w:rsidP="00FE6C6E">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 xml:space="preserve">(e) a pension fund that is regulated by the federal Office of the Superintendent of Financial Institutions or a pension commission or similar regulatory authority of a jurisdiction of Canada or a </w:t>
      </w:r>
      <w:proofErr w:type="gramStart"/>
      <w:r w:rsidRPr="007D4E7F">
        <w:rPr>
          <w:sz w:val="22"/>
          <w:szCs w:val="20"/>
        </w:rPr>
        <w:t>wholly-owned</w:t>
      </w:r>
      <w:proofErr w:type="gramEnd"/>
      <w:r w:rsidRPr="007D4E7F">
        <w:rPr>
          <w:sz w:val="22"/>
          <w:szCs w:val="20"/>
        </w:rPr>
        <w:t xml:space="preserve"> subsidiary of the pension fund;</w:t>
      </w:r>
    </w:p>
    <w:p w14:paraId="1FFB7629" w14:textId="77777777" w:rsidR="00FE6C6E" w:rsidRDefault="00201EFA" w:rsidP="00FE6C6E">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(f) an entity organized under the laws of a foreign jurisdiction that is analogous to any of the entities referred to in paragraphs (a) to (e</w:t>
      </w:r>
      <w:proofErr w:type="gramStart"/>
      <w:r w:rsidRPr="007D4E7F">
        <w:rPr>
          <w:sz w:val="22"/>
          <w:szCs w:val="20"/>
        </w:rPr>
        <w:t>);</w:t>
      </w:r>
      <w:proofErr w:type="gramEnd"/>
    </w:p>
    <w:p w14:paraId="0CF0C92E" w14:textId="77777777" w:rsidR="00FE6C6E" w:rsidRPr="007D4E7F" w:rsidRDefault="00201EFA" w:rsidP="00E043EA">
      <w:pPr>
        <w:pStyle w:val="BodyText"/>
        <w:shd w:val="clear" w:color="auto" w:fill="D9D9D9" w:themeFill="background1" w:themeFillShade="D9"/>
        <w:spacing w:before="100" w:beforeAutospacing="1" w:after="120" w:line="240" w:lineRule="exact"/>
        <w:ind w:left="1440" w:right="187" w:firstLine="0"/>
        <w:jc w:val="both"/>
        <w:rPr>
          <w:sz w:val="22"/>
          <w:szCs w:val="20"/>
        </w:rPr>
      </w:pPr>
      <w:r w:rsidRPr="00E043EA">
        <w:rPr>
          <w:sz w:val="22"/>
          <w:szCs w:val="20"/>
        </w:rPr>
        <w:t>Organizations of sovereigns established by treaties entered into by governments (such as the United Nations and its specialized agencies, the International Bank for Reconstruction and Development, the International Monetary Fund, the International Finance Corporation and regional development banks, such as the Inter-American Development Bank and The Council of Europe Development Bank) and national development banks established by governments to provide financing for economic development (such as (i) KfW Development Bank (Germany), (ii) the Development Bank of Austria (</w:t>
      </w:r>
      <w:proofErr w:type="spellStart"/>
      <w:r w:rsidRPr="00E043EA">
        <w:rPr>
          <w:sz w:val="22"/>
          <w:szCs w:val="20"/>
        </w:rPr>
        <w:t>OeEB</w:t>
      </w:r>
      <w:proofErr w:type="spellEnd"/>
      <w:r w:rsidRPr="00E043EA">
        <w:rPr>
          <w:sz w:val="22"/>
          <w:szCs w:val="20"/>
        </w:rPr>
        <w:t>), and (iii) the Development Bank of Japan Inc.) are considered “analogous” to the Business Development Bank of Canada (paragraph (b) above) and therefore qualify as Eligible Derivatives Parties under paragraph (f).</w:t>
      </w:r>
    </w:p>
    <w:p w14:paraId="0C62ABBA" w14:textId="77777777" w:rsidR="00FE6C6E" w:rsidRPr="007D4E7F" w:rsidRDefault="00201EFA" w:rsidP="00FE6C6E">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 xml:space="preserve">(g) the Government of Canada or the government of a jurisdiction of Canada, or any crown corporation, agency or </w:t>
      </w:r>
      <w:proofErr w:type="gramStart"/>
      <w:r w:rsidRPr="007D4E7F">
        <w:rPr>
          <w:sz w:val="22"/>
          <w:szCs w:val="20"/>
        </w:rPr>
        <w:t>wholly-owned</w:t>
      </w:r>
      <w:proofErr w:type="gramEnd"/>
      <w:r w:rsidRPr="007D4E7F">
        <w:rPr>
          <w:sz w:val="22"/>
          <w:szCs w:val="20"/>
        </w:rPr>
        <w:t xml:space="preserve"> entity of the Government of Canada or the government of a jurisdiction of Canada;</w:t>
      </w:r>
    </w:p>
    <w:p w14:paraId="4062B305" w14:textId="77777777" w:rsidR="00FE6C6E" w:rsidRDefault="00201EFA" w:rsidP="00FE6C6E">
      <w:pPr>
        <w:pStyle w:val="BodyText"/>
        <w:spacing w:before="100" w:beforeAutospacing="1" w:after="100" w:afterAutospacing="1"/>
        <w:ind w:left="1440" w:firstLine="0"/>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 xml:space="preserve">(h) a government of a foreign jurisdiction or any agency of that </w:t>
      </w:r>
      <w:proofErr w:type="gramStart"/>
      <w:r w:rsidRPr="007D4E7F">
        <w:rPr>
          <w:sz w:val="22"/>
          <w:szCs w:val="20"/>
        </w:rPr>
        <w:t>government;</w:t>
      </w:r>
      <w:proofErr w:type="gramEnd"/>
    </w:p>
    <w:p w14:paraId="257AA65A" w14:textId="000BBFA7" w:rsidR="00FE6C6E" w:rsidRPr="007D4E7F" w:rsidRDefault="00201EFA" w:rsidP="00FE6C6E">
      <w:pPr>
        <w:pStyle w:val="BodyText"/>
        <w:shd w:val="clear" w:color="auto" w:fill="D9D9D9" w:themeFill="background1" w:themeFillShade="D9"/>
        <w:spacing w:before="100" w:beforeAutospacing="1" w:after="120" w:line="240" w:lineRule="exact"/>
        <w:ind w:left="1440" w:right="187" w:firstLine="0"/>
        <w:jc w:val="both"/>
        <w:rPr>
          <w:sz w:val="22"/>
          <w:szCs w:val="20"/>
        </w:rPr>
      </w:pPr>
      <w:r>
        <w:rPr>
          <w:sz w:val="22"/>
          <w:szCs w:val="20"/>
        </w:rPr>
        <w:t xml:space="preserve">According to the </w:t>
      </w:r>
      <w:hyperlink r:id="rId13" w:history="1">
        <w:r w:rsidR="00FE6C6E" w:rsidRPr="007275A7">
          <w:rPr>
            <w:rStyle w:val="Hyperlink"/>
            <w:sz w:val="22"/>
            <w:szCs w:val="20"/>
          </w:rPr>
          <w:t>CSA Staff Notice 93-302</w:t>
        </w:r>
      </w:hyperlink>
      <w:r>
        <w:rPr>
          <w:sz w:val="22"/>
          <w:szCs w:val="20"/>
        </w:rPr>
        <w:t>, p</w:t>
      </w:r>
      <w:r w:rsidRPr="00726FB5">
        <w:rPr>
          <w:sz w:val="22"/>
          <w:szCs w:val="20"/>
        </w:rPr>
        <w:t>aragraph (h) is intended to cover</w:t>
      </w:r>
      <w:r>
        <w:rPr>
          <w:sz w:val="22"/>
          <w:szCs w:val="20"/>
        </w:rPr>
        <w:t>: (i)</w:t>
      </w:r>
      <w:r w:rsidRPr="00726FB5">
        <w:rPr>
          <w:sz w:val="22"/>
          <w:szCs w:val="20"/>
        </w:rPr>
        <w:t xml:space="preserve"> in an analogous manner, the same types of derivatives parties in a foreign jurisdiction that are covered under paragraph (g) </w:t>
      </w:r>
      <w:r>
        <w:rPr>
          <w:sz w:val="22"/>
          <w:szCs w:val="20"/>
        </w:rPr>
        <w:t>above</w:t>
      </w:r>
      <w:r w:rsidRPr="00726FB5">
        <w:rPr>
          <w:sz w:val="22"/>
          <w:szCs w:val="20"/>
        </w:rPr>
        <w:t xml:space="preserve"> with regard to entities wholly</w:t>
      </w:r>
      <w:r>
        <w:rPr>
          <w:sz w:val="22"/>
          <w:szCs w:val="20"/>
        </w:rPr>
        <w:t>-</w:t>
      </w:r>
      <w:r w:rsidRPr="00726FB5">
        <w:rPr>
          <w:sz w:val="22"/>
          <w:szCs w:val="20"/>
        </w:rPr>
        <w:t>owned by the Government of Canada or the government of a jurisdiction of Canada</w:t>
      </w:r>
      <w:r>
        <w:rPr>
          <w:sz w:val="22"/>
          <w:szCs w:val="20"/>
        </w:rPr>
        <w:t xml:space="preserve">; and (ii) </w:t>
      </w:r>
      <w:r w:rsidRPr="00E05C71">
        <w:rPr>
          <w:sz w:val="22"/>
          <w:szCs w:val="20"/>
        </w:rPr>
        <w:t>any national, federal, state, provincial, territorial or municipal government of or in any foreign jurisdiction, or any agency of that government.</w:t>
      </w:r>
    </w:p>
    <w:p w14:paraId="6D4C94DF" w14:textId="77777777" w:rsidR="00FE6C6E" w:rsidRPr="007D4E7F" w:rsidRDefault="00201EFA" w:rsidP="00FE6C6E">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 xml:space="preserve">(i) a municipality, public board or commission in Canada and a metropolitan community, school board, the </w:t>
      </w:r>
      <w:proofErr w:type="spellStart"/>
      <w:r w:rsidRPr="007D4E7F">
        <w:rPr>
          <w:sz w:val="22"/>
          <w:szCs w:val="20"/>
        </w:rPr>
        <w:t>Comité</w:t>
      </w:r>
      <w:proofErr w:type="spellEnd"/>
      <w:r w:rsidRPr="007D4E7F">
        <w:rPr>
          <w:sz w:val="22"/>
          <w:szCs w:val="20"/>
        </w:rPr>
        <w:t xml:space="preserve"> de gestion de la </w:t>
      </w:r>
      <w:proofErr w:type="spellStart"/>
      <w:r w:rsidRPr="007D4E7F">
        <w:rPr>
          <w:sz w:val="22"/>
          <w:szCs w:val="20"/>
        </w:rPr>
        <w:t>taxe</w:t>
      </w:r>
      <w:proofErr w:type="spellEnd"/>
      <w:r w:rsidRPr="007D4E7F">
        <w:rPr>
          <w:sz w:val="22"/>
          <w:szCs w:val="20"/>
        </w:rPr>
        <w:t xml:space="preserve"> </w:t>
      </w:r>
      <w:proofErr w:type="spellStart"/>
      <w:r w:rsidRPr="007D4E7F">
        <w:rPr>
          <w:sz w:val="22"/>
          <w:szCs w:val="20"/>
        </w:rPr>
        <w:t>scolaire</w:t>
      </w:r>
      <w:proofErr w:type="spellEnd"/>
      <w:r w:rsidRPr="007D4E7F">
        <w:rPr>
          <w:sz w:val="22"/>
          <w:szCs w:val="20"/>
        </w:rPr>
        <w:t xml:space="preserve"> de </w:t>
      </w:r>
      <w:proofErr w:type="spellStart"/>
      <w:r w:rsidRPr="007D4E7F">
        <w:rPr>
          <w:sz w:val="22"/>
          <w:szCs w:val="20"/>
        </w:rPr>
        <w:t>l’île</w:t>
      </w:r>
      <w:proofErr w:type="spellEnd"/>
      <w:r w:rsidRPr="007D4E7F">
        <w:rPr>
          <w:sz w:val="22"/>
          <w:szCs w:val="20"/>
        </w:rPr>
        <w:t xml:space="preserve"> de Montréal or an intermunicipal management board in </w:t>
      </w:r>
      <w:proofErr w:type="gramStart"/>
      <w:r w:rsidRPr="007D4E7F">
        <w:rPr>
          <w:sz w:val="22"/>
          <w:szCs w:val="20"/>
        </w:rPr>
        <w:t>Québec;</w:t>
      </w:r>
      <w:proofErr w:type="gramEnd"/>
    </w:p>
    <w:bookmarkStart w:id="3" w:name="_Hlk153307312"/>
    <w:p w14:paraId="2DF82879" w14:textId="77777777" w:rsidR="00FE6C6E" w:rsidRPr="007D4E7F" w:rsidRDefault="00201EFA" w:rsidP="00FE6C6E">
      <w:pPr>
        <w:pStyle w:val="BodyText"/>
        <w:spacing w:before="100" w:beforeAutospacing="1" w:after="120" w:line="240" w:lineRule="exact"/>
        <w:ind w:left="1440" w:right="187" w:firstLine="0"/>
        <w:jc w:val="both"/>
        <w:rPr>
          <w:sz w:val="22"/>
          <w:szCs w:val="20"/>
        </w:rPr>
      </w:pPr>
      <w:r w:rsidRPr="007D4E7F">
        <w:rPr>
          <w:bCs/>
          <w:sz w:val="22"/>
        </w:rPr>
        <w:lastRenderedPageBreak/>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 xml:space="preserve">(j) a trust company or trust corporation registered or authorized to carry on business under the </w:t>
      </w:r>
      <w:r w:rsidRPr="007D4E7F">
        <w:rPr>
          <w:i/>
          <w:iCs/>
          <w:sz w:val="22"/>
          <w:szCs w:val="20"/>
        </w:rPr>
        <w:t xml:space="preserve">Trust and Loan Companies Act </w:t>
      </w:r>
      <w:r w:rsidRPr="007D4E7F">
        <w:rPr>
          <w:sz w:val="22"/>
          <w:szCs w:val="20"/>
        </w:rPr>
        <w:t xml:space="preserve">(Canada) or under comparable legislation in a jurisdiction of Canada or a foreign jurisdiction, acting on behalf of a managed account managed by the trust company or trust corporation, as the case may </w:t>
      </w:r>
      <w:proofErr w:type="gramStart"/>
      <w:r w:rsidRPr="007D4E7F">
        <w:rPr>
          <w:sz w:val="22"/>
          <w:szCs w:val="20"/>
        </w:rPr>
        <w:t>be;</w:t>
      </w:r>
      <w:proofErr w:type="gramEnd"/>
    </w:p>
    <w:p w14:paraId="24356E5E" w14:textId="77777777" w:rsidR="00FE6C6E" w:rsidRPr="007D4E7F" w:rsidRDefault="00201EFA" w:rsidP="00FE6C6E">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 xml:space="preserve">(k) a person or company that is acting on behalf of a managed account if the person or company is registered or authorized to carry on business as either of the following: (i) an adviser or a derivatives adviser in a jurisdiction of Canada or (ii) the equivalent of an adviser or a derivatives adviser under the securities legislation of a jurisdiction of Canada or a foreign </w:t>
      </w:r>
      <w:proofErr w:type="gramStart"/>
      <w:r w:rsidRPr="007D4E7F">
        <w:rPr>
          <w:sz w:val="22"/>
          <w:szCs w:val="20"/>
        </w:rPr>
        <w:t>jurisdiction;</w:t>
      </w:r>
      <w:proofErr w:type="gramEnd"/>
    </w:p>
    <w:bookmarkEnd w:id="3"/>
    <w:p w14:paraId="30D7DFC5" w14:textId="43D8D655" w:rsidR="00FE6C6E" w:rsidRPr="00835DFE" w:rsidRDefault="00201EFA" w:rsidP="00FE6C6E">
      <w:pPr>
        <w:pStyle w:val="BodyText"/>
        <w:spacing w:before="100" w:beforeAutospacing="1" w:after="120" w:line="240" w:lineRule="exact"/>
        <w:ind w:left="1440" w:right="187" w:firstLine="0"/>
        <w:jc w:val="both"/>
        <w:rPr>
          <w:b/>
          <w:bCs/>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 xml:space="preserve">(l) </w:t>
      </w:r>
      <w:bookmarkStart w:id="4" w:name="_Hlk182832890"/>
      <w:r w:rsidRPr="007D4E7F">
        <w:rPr>
          <w:sz w:val="22"/>
          <w:szCs w:val="20"/>
        </w:rPr>
        <w:t xml:space="preserve">an investment fund if either of the following apply: the investment fund is </w:t>
      </w:r>
      <w:r>
        <w:rPr>
          <w:sz w:val="22"/>
          <w:szCs w:val="20"/>
        </w:rPr>
        <w:t xml:space="preserve">(A)(i) </w:t>
      </w:r>
      <w:r w:rsidRPr="007D4E7F">
        <w:rPr>
          <w:sz w:val="22"/>
          <w:szCs w:val="20"/>
        </w:rPr>
        <w:t>managed by a person or company registered as an investment fund manager under the securities legislation of a jurisdiction of Canada</w:t>
      </w:r>
      <w:r>
        <w:rPr>
          <w:sz w:val="22"/>
          <w:szCs w:val="20"/>
        </w:rPr>
        <w:t xml:space="preserve"> or </w:t>
      </w:r>
      <w:r w:rsidRPr="007D4E7F">
        <w:rPr>
          <w:sz w:val="22"/>
          <w:szCs w:val="20"/>
        </w:rPr>
        <w:t>(ii) advised by an adviser registered or exempted from registration under securities legislation or under commodity futures legislation of a jurisdiction of Canada</w:t>
      </w:r>
      <w:bookmarkEnd w:id="4"/>
      <w:r>
        <w:rPr>
          <w:sz w:val="22"/>
          <w:szCs w:val="20"/>
        </w:rPr>
        <w:t xml:space="preserve"> </w:t>
      </w:r>
      <w:r w:rsidRPr="00B746F4">
        <w:rPr>
          <w:sz w:val="22"/>
          <w:szCs w:val="20"/>
        </w:rPr>
        <w:t xml:space="preserve">or </w:t>
      </w:r>
      <w:r>
        <w:rPr>
          <w:sz w:val="22"/>
          <w:szCs w:val="20"/>
        </w:rPr>
        <w:t>(B)</w:t>
      </w:r>
      <w:r w:rsidRPr="00B746F4">
        <w:rPr>
          <w:sz w:val="22"/>
          <w:szCs w:val="20"/>
        </w:rPr>
        <w:t xml:space="preserve">(i) </w:t>
      </w:r>
      <w:r>
        <w:rPr>
          <w:sz w:val="22"/>
          <w:szCs w:val="20"/>
        </w:rPr>
        <w:t>m</w:t>
      </w:r>
      <w:r w:rsidRPr="00B746F4">
        <w:rPr>
          <w:sz w:val="22"/>
          <w:szCs w:val="20"/>
        </w:rPr>
        <w:t>anaged by the equivalent of a registered or authorized investment fund manager under the securities legislation or under the commodities futures legislation of a foreign jurisdiction or (</w:t>
      </w:r>
      <w:r>
        <w:rPr>
          <w:sz w:val="22"/>
          <w:szCs w:val="20"/>
        </w:rPr>
        <w:t>ii</w:t>
      </w:r>
      <w:r w:rsidRPr="00B746F4">
        <w:rPr>
          <w:sz w:val="22"/>
          <w:szCs w:val="20"/>
        </w:rPr>
        <w:t>) advised by the equivalent of a registered or authorized adviser under the securities legislation or under the commodities futures legislation of a foreign jurisdiction;</w:t>
      </w:r>
      <w:r>
        <w:rPr>
          <w:rStyle w:val="FootnoteReference"/>
          <w:sz w:val="22"/>
          <w:szCs w:val="20"/>
        </w:rPr>
        <w:footnoteReference w:id="8"/>
      </w:r>
    </w:p>
    <w:p w14:paraId="64B05750" w14:textId="77777777" w:rsidR="00FE6C6E" w:rsidRDefault="00201EFA" w:rsidP="00FE6C6E">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(m) a person or company, other than an individual, that has net assets</w:t>
      </w:r>
      <w:bookmarkStart w:id="6" w:name="_Ref182073508"/>
      <w:r>
        <w:rPr>
          <w:rStyle w:val="FootnoteReference"/>
          <w:sz w:val="22"/>
          <w:szCs w:val="20"/>
        </w:rPr>
        <w:footnoteReference w:id="9"/>
      </w:r>
      <w:bookmarkEnd w:id="6"/>
      <w:r w:rsidRPr="007D4E7F">
        <w:rPr>
          <w:sz w:val="22"/>
          <w:szCs w:val="20"/>
        </w:rPr>
        <w:t xml:space="preserve"> of at least C$25,000,000 as shown </w:t>
      </w:r>
      <w:proofErr w:type="gramStart"/>
      <w:r w:rsidRPr="007D4E7F">
        <w:rPr>
          <w:sz w:val="22"/>
          <w:szCs w:val="20"/>
        </w:rPr>
        <w:t>on</w:t>
      </w:r>
      <w:proofErr w:type="gramEnd"/>
      <w:r w:rsidRPr="007D4E7F">
        <w:rPr>
          <w:sz w:val="22"/>
          <w:szCs w:val="20"/>
        </w:rPr>
        <w:t xml:space="preserve"> its most recently prepared financial </w:t>
      </w:r>
      <w:proofErr w:type="gramStart"/>
      <w:r w:rsidRPr="007D4E7F">
        <w:rPr>
          <w:sz w:val="22"/>
          <w:szCs w:val="20"/>
        </w:rPr>
        <w:t>statements;</w:t>
      </w:r>
      <w:proofErr w:type="gramEnd"/>
    </w:p>
    <w:p w14:paraId="5C129498" w14:textId="725FC380" w:rsidR="00FE6C6E" w:rsidRPr="00CB7AD8" w:rsidRDefault="00201EFA" w:rsidP="00FE6C6E">
      <w:pPr>
        <w:pStyle w:val="BodyText"/>
        <w:shd w:val="clear" w:color="auto" w:fill="D9D9D9" w:themeFill="background1" w:themeFillShade="D9"/>
        <w:spacing w:before="100" w:beforeAutospacing="1" w:after="120" w:line="240" w:lineRule="exact"/>
        <w:ind w:left="1440" w:right="187" w:firstLine="0"/>
        <w:jc w:val="both"/>
        <w:rPr>
          <w:sz w:val="22"/>
          <w:szCs w:val="20"/>
        </w:rPr>
      </w:pPr>
      <w:r>
        <w:rPr>
          <w:sz w:val="22"/>
          <w:szCs w:val="20"/>
        </w:rPr>
        <w:t xml:space="preserve">This is a </w:t>
      </w:r>
      <w:r>
        <w:rPr>
          <w:b/>
          <w:bCs/>
          <w:sz w:val="22"/>
          <w:szCs w:val="20"/>
          <w:u w:val="single"/>
        </w:rPr>
        <w:t>net</w:t>
      </w:r>
      <w:r>
        <w:rPr>
          <w:sz w:val="22"/>
          <w:szCs w:val="20"/>
        </w:rPr>
        <w:t xml:space="preserve"> asset test, and </w:t>
      </w:r>
      <w:r w:rsidRPr="00A904BF">
        <w:rPr>
          <w:b/>
          <w:bCs/>
          <w:sz w:val="22"/>
          <w:szCs w:val="20"/>
          <w:u w:val="single"/>
        </w:rPr>
        <w:t>not</w:t>
      </w:r>
      <w:r w:rsidRPr="00A60A21">
        <w:rPr>
          <w:sz w:val="22"/>
          <w:szCs w:val="20"/>
          <w:u w:val="single"/>
        </w:rPr>
        <w:t xml:space="preserve"> a reference to</w:t>
      </w:r>
      <w:r>
        <w:rPr>
          <w:sz w:val="22"/>
          <w:szCs w:val="20"/>
        </w:rPr>
        <w:t xml:space="preserve"> total assets. Financial statements do not need to be audited.</w:t>
      </w:r>
      <w:r w:rsidR="00FC5070">
        <w:rPr>
          <w:sz w:val="22"/>
          <w:szCs w:val="20"/>
        </w:rPr>
        <w:t xml:space="preserve"> </w:t>
      </w:r>
      <w:r>
        <w:rPr>
          <w:sz w:val="22"/>
          <w:szCs w:val="20"/>
        </w:rPr>
        <w:t>The financial statements must be prepared to show the financial position of the Named Person and not, for example, the consolidated financial statements of the parent company of the Named Person. “Most recently prepared” refers to the financial statements most recently prepared by the Named Person and therefore could refer to any of the annual, quarterly or monthly financial statements of the Named Person.</w:t>
      </w:r>
    </w:p>
    <w:p w14:paraId="4FDB60B6" w14:textId="77777777" w:rsidR="00FE6C6E" w:rsidRPr="007D4E7F" w:rsidRDefault="00201EFA" w:rsidP="00FE6C6E">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 xml:space="preserve">(n) a person or company that has represented to Recipient, in writing, that it is a Commercial Hedger in relation to the derivatives that it transacts with such derivatives </w:t>
      </w:r>
      <w:proofErr w:type="gramStart"/>
      <w:r w:rsidRPr="007D4E7F">
        <w:rPr>
          <w:sz w:val="22"/>
          <w:szCs w:val="20"/>
        </w:rPr>
        <w:t>firm;</w:t>
      </w:r>
      <w:proofErr w:type="gramEnd"/>
      <w:r w:rsidRPr="007D4E7F">
        <w:rPr>
          <w:sz w:val="22"/>
          <w:szCs w:val="20"/>
        </w:rPr>
        <w:t xml:space="preserve"> </w:t>
      </w:r>
    </w:p>
    <w:p w14:paraId="2E1A09A0" w14:textId="77777777" w:rsidR="00FE6C6E" w:rsidRDefault="00201EFA" w:rsidP="00FE6C6E">
      <w:pPr>
        <w:pStyle w:val="BodyText"/>
        <w:spacing w:before="100" w:beforeAutospacing="1" w:after="120" w:line="240" w:lineRule="exact"/>
        <w:ind w:left="2160" w:right="187" w:firstLine="0"/>
        <w:jc w:val="both"/>
        <w:rPr>
          <w:bCs/>
          <w:sz w:val="22"/>
          <w:lang w:val="en-CA"/>
        </w:rPr>
      </w:pPr>
      <w:r w:rsidRPr="007D4E7F">
        <w:rPr>
          <w:bCs/>
          <w:sz w:val="22"/>
          <w:lang w:val="en-CA"/>
        </w:rPr>
        <w:t>By checking this box (i.e., (n)), the Named Person is representing to Recipient that it is a Commercial Hedger in relation to the derivatives transacted with the Recipient.</w:t>
      </w:r>
    </w:p>
    <w:p w14:paraId="37EFFAFE" w14:textId="77777777" w:rsidR="00FE6C6E" w:rsidRDefault="00201EFA" w:rsidP="00FE6C6E">
      <w:pPr>
        <w:pStyle w:val="BodyText"/>
        <w:shd w:val="clear" w:color="auto" w:fill="D9D9D9" w:themeFill="background1" w:themeFillShade="D9"/>
        <w:spacing w:before="100" w:beforeAutospacing="1" w:after="120" w:line="240" w:lineRule="exact"/>
        <w:ind w:left="1440" w:right="187" w:firstLine="0"/>
        <w:jc w:val="both"/>
        <w:rPr>
          <w:bCs/>
          <w:sz w:val="22"/>
          <w:szCs w:val="20"/>
          <w:lang w:val="en-CA"/>
        </w:rPr>
      </w:pPr>
      <w:r>
        <w:rPr>
          <w:bCs/>
          <w:sz w:val="22"/>
          <w:szCs w:val="20"/>
          <w:lang w:val="en-CA"/>
        </w:rPr>
        <w:t>“Commercial Hedger” is defined in the Appendix (Definitions) hereto.</w:t>
      </w:r>
    </w:p>
    <w:p w14:paraId="0C7CC123" w14:textId="3428F122" w:rsidR="00FE6C6E" w:rsidRPr="00BF515F" w:rsidRDefault="00201EFA" w:rsidP="00FE6C6E">
      <w:pPr>
        <w:pStyle w:val="BodyText"/>
        <w:shd w:val="clear" w:color="auto" w:fill="D9D9D9" w:themeFill="background1" w:themeFillShade="D9"/>
        <w:spacing w:before="100" w:beforeAutospacing="1" w:after="120" w:line="240" w:lineRule="exact"/>
        <w:ind w:left="1440" w:right="187" w:firstLine="0"/>
        <w:jc w:val="both"/>
        <w:rPr>
          <w:bCs/>
          <w:sz w:val="22"/>
          <w:szCs w:val="20"/>
          <w:lang w:val="en-CA"/>
        </w:rPr>
      </w:pPr>
      <w:r>
        <w:rPr>
          <w:bCs/>
          <w:sz w:val="22"/>
          <w:szCs w:val="20"/>
          <w:lang w:val="en-CA"/>
        </w:rPr>
        <w:t>According to the Companion Policy, “c</w:t>
      </w:r>
      <w:r w:rsidRPr="00BF515F">
        <w:rPr>
          <w:bCs/>
          <w:sz w:val="22"/>
          <w:szCs w:val="20"/>
          <w:lang w:val="en-CA"/>
        </w:rPr>
        <w:t>ommercial hedger</w:t>
      </w:r>
      <w:r>
        <w:rPr>
          <w:bCs/>
          <w:sz w:val="22"/>
          <w:szCs w:val="20"/>
          <w:lang w:val="en-CA"/>
        </w:rPr>
        <w:t>”</w:t>
      </w:r>
      <w:r w:rsidRPr="00BF515F">
        <w:rPr>
          <w:bCs/>
          <w:sz w:val="22"/>
          <w:szCs w:val="20"/>
          <w:lang w:val="en-CA"/>
        </w:rPr>
        <w:t xml:space="preserve"> may</w:t>
      </w:r>
      <w:r>
        <w:rPr>
          <w:bCs/>
          <w:sz w:val="22"/>
          <w:szCs w:val="20"/>
          <w:lang w:val="en-CA"/>
        </w:rPr>
        <w:t xml:space="preserve"> include a person or company that is</w:t>
      </w:r>
      <w:r w:rsidR="00E043EA">
        <w:rPr>
          <w:bCs/>
          <w:sz w:val="22"/>
          <w:szCs w:val="20"/>
          <w:lang w:val="en-CA"/>
        </w:rPr>
        <w:t>:</w:t>
      </w:r>
      <w:r>
        <w:rPr>
          <w:bCs/>
          <w:sz w:val="22"/>
          <w:szCs w:val="20"/>
          <w:lang w:val="en-CA"/>
        </w:rPr>
        <w:t xml:space="preserve"> </w:t>
      </w:r>
      <w:r w:rsidRPr="00BF515F">
        <w:rPr>
          <w:bCs/>
          <w:sz w:val="22"/>
          <w:szCs w:val="20"/>
          <w:lang w:val="en-CA"/>
        </w:rPr>
        <w:t>(i) a commodity producer hedging commodity price risk</w:t>
      </w:r>
      <w:r>
        <w:rPr>
          <w:bCs/>
          <w:sz w:val="22"/>
          <w:szCs w:val="20"/>
          <w:lang w:val="en-CA"/>
        </w:rPr>
        <w:t>;</w:t>
      </w:r>
      <w:r w:rsidRPr="00BF515F">
        <w:rPr>
          <w:bCs/>
          <w:sz w:val="22"/>
          <w:szCs w:val="20"/>
          <w:lang w:val="en-CA"/>
        </w:rPr>
        <w:t xml:space="preserve"> (ii) </w:t>
      </w:r>
      <w:proofErr w:type="gramStart"/>
      <w:r w:rsidRPr="00BF515F">
        <w:rPr>
          <w:bCs/>
          <w:sz w:val="22"/>
          <w:szCs w:val="20"/>
          <w:lang w:val="en-CA"/>
        </w:rPr>
        <w:t>entering into</w:t>
      </w:r>
      <w:proofErr w:type="gramEnd"/>
      <w:r w:rsidRPr="00BF515F">
        <w:rPr>
          <w:bCs/>
          <w:sz w:val="22"/>
          <w:szCs w:val="20"/>
          <w:lang w:val="en-CA"/>
        </w:rPr>
        <w:t xml:space="preserve"> interest rate swaps to hedge interest rate risk associated with loan obligations</w:t>
      </w:r>
      <w:r>
        <w:rPr>
          <w:bCs/>
          <w:sz w:val="22"/>
          <w:szCs w:val="20"/>
          <w:lang w:val="en-CA"/>
        </w:rPr>
        <w:t>;</w:t>
      </w:r>
      <w:r w:rsidRPr="00BF515F">
        <w:rPr>
          <w:bCs/>
          <w:sz w:val="22"/>
          <w:szCs w:val="20"/>
          <w:lang w:val="en-CA"/>
        </w:rPr>
        <w:t xml:space="preserve"> or (iii) entering into foreign currency swaps to hedge foreign exchange risk associated with multi-currency operations. The category is not intended to include</w:t>
      </w:r>
      <w:r w:rsidR="00E043EA">
        <w:rPr>
          <w:bCs/>
          <w:sz w:val="22"/>
          <w:szCs w:val="20"/>
          <w:lang w:val="en-CA"/>
        </w:rPr>
        <w:t>:</w:t>
      </w:r>
      <w:r w:rsidRPr="00BF515F">
        <w:rPr>
          <w:bCs/>
          <w:sz w:val="22"/>
          <w:szCs w:val="20"/>
          <w:lang w:val="en-CA"/>
        </w:rPr>
        <w:t xml:space="preserve"> (i) hedging of risk incurred under speculative transactions; there must be a “significant/reasonable link” between the hedging transaction and the business risks being hedged</w:t>
      </w:r>
      <w:r>
        <w:rPr>
          <w:bCs/>
          <w:sz w:val="22"/>
          <w:szCs w:val="20"/>
          <w:lang w:val="en-CA"/>
        </w:rPr>
        <w:t>;</w:t>
      </w:r>
      <w:r w:rsidRPr="00BF515F">
        <w:rPr>
          <w:bCs/>
          <w:sz w:val="22"/>
          <w:szCs w:val="20"/>
          <w:lang w:val="en-CA"/>
        </w:rPr>
        <w:t xml:space="preserve"> or (ii) hedging by an individual of risk associated with personal investment activities by </w:t>
      </w:r>
      <w:proofErr w:type="gramStart"/>
      <w:r w:rsidRPr="00BF515F">
        <w:rPr>
          <w:bCs/>
          <w:sz w:val="22"/>
          <w:szCs w:val="20"/>
          <w:lang w:val="en-CA"/>
        </w:rPr>
        <w:t>entering into</w:t>
      </w:r>
      <w:proofErr w:type="gramEnd"/>
      <w:r w:rsidRPr="00BF515F">
        <w:rPr>
          <w:bCs/>
          <w:sz w:val="22"/>
          <w:szCs w:val="20"/>
          <w:lang w:val="en-CA"/>
        </w:rPr>
        <w:t xml:space="preserve"> over-the-counter derivatives</w:t>
      </w:r>
      <w:r>
        <w:rPr>
          <w:bCs/>
          <w:sz w:val="22"/>
          <w:szCs w:val="20"/>
          <w:lang w:val="en-CA"/>
        </w:rPr>
        <w:t xml:space="preserve"> transactions</w:t>
      </w:r>
      <w:r w:rsidRPr="00BF515F">
        <w:rPr>
          <w:bCs/>
          <w:sz w:val="22"/>
          <w:szCs w:val="20"/>
          <w:lang w:val="en-CA"/>
        </w:rPr>
        <w:t>.</w:t>
      </w:r>
    </w:p>
    <w:p w14:paraId="290A0D8B" w14:textId="7B67D997" w:rsidR="00FE6C6E" w:rsidRPr="007D4E7F" w:rsidRDefault="00201EFA" w:rsidP="00FE6C6E">
      <w:pPr>
        <w:pStyle w:val="BodyText"/>
        <w:shd w:val="clear" w:color="auto" w:fill="D9D9D9" w:themeFill="background1" w:themeFillShade="D9"/>
        <w:spacing w:before="100" w:beforeAutospacing="1" w:after="120" w:line="240" w:lineRule="exact"/>
        <w:ind w:left="1440" w:right="187" w:firstLine="0"/>
        <w:jc w:val="both"/>
        <w:rPr>
          <w:bCs/>
          <w:sz w:val="22"/>
          <w:szCs w:val="20"/>
          <w:lang w:val="en-CA"/>
        </w:rPr>
      </w:pPr>
      <w:r>
        <w:rPr>
          <w:bCs/>
          <w:sz w:val="22"/>
          <w:szCs w:val="20"/>
          <w:lang w:val="en-CA"/>
        </w:rPr>
        <w:t>According to the Companion Policy, f</w:t>
      </w:r>
      <w:r w:rsidRPr="00BF515F">
        <w:rPr>
          <w:bCs/>
          <w:sz w:val="22"/>
          <w:szCs w:val="20"/>
          <w:lang w:val="en-CA"/>
        </w:rPr>
        <w:t xml:space="preserve">or an instrument to qualify as a “hedge,” hedge accounting need not be used (i.e., fair value accounting may be used), so long as the instrument is objectively </w:t>
      </w:r>
      <w:r w:rsidRPr="00BF515F">
        <w:rPr>
          <w:bCs/>
          <w:sz w:val="22"/>
          <w:szCs w:val="20"/>
          <w:lang w:val="en-CA"/>
        </w:rPr>
        <w:lastRenderedPageBreak/>
        <w:t>connected to, and measurably reduces, a risk related to the commercial activity carried on by the person or company.</w:t>
      </w:r>
    </w:p>
    <w:p w14:paraId="01B65F52" w14:textId="77777777" w:rsidR="00FE6C6E" w:rsidRDefault="00201EFA" w:rsidP="00FE6C6E">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(o) an individual that beneficially owns financial assets</w:t>
      </w:r>
      <w:bookmarkStart w:id="7" w:name="_Ref157251866"/>
      <w:r>
        <w:rPr>
          <w:rStyle w:val="FootnoteReference"/>
          <w:sz w:val="22"/>
          <w:szCs w:val="20"/>
        </w:rPr>
        <w:footnoteReference w:id="10"/>
      </w:r>
      <w:bookmarkEnd w:id="7"/>
      <w:r w:rsidRPr="007D4E7F">
        <w:rPr>
          <w:sz w:val="22"/>
          <w:szCs w:val="20"/>
        </w:rPr>
        <w:t xml:space="preserve"> that have an aggregate realizable value before tax but net of any related liabilities of at least C$</w:t>
      </w:r>
      <w:proofErr w:type="gramStart"/>
      <w:r w:rsidRPr="007D4E7F">
        <w:rPr>
          <w:sz w:val="22"/>
          <w:szCs w:val="20"/>
        </w:rPr>
        <w:t>5,000,000;</w:t>
      </w:r>
      <w:proofErr w:type="gramEnd"/>
    </w:p>
    <w:p w14:paraId="4C738DC0" w14:textId="77777777" w:rsidR="00FE6C6E" w:rsidRDefault="00201EFA" w:rsidP="00FE6C6E">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 xml:space="preserve">(p) a person or company, other than an individual, that has represented to the Recipient, in writing, that its obligations under derivatives that it transacts with such </w:t>
      </w:r>
      <w:r>
        <w:rPr>
          <w:sz w:val="22"/>
          <w:szCs w:val="20"/>
        </w:rPr>
        <w:t>Recipient</w:t>
      </w:r>
      <w:r w:rsidRPr="007D4E7F">
        <w:rPr>
          <w:sz w:val="22"/>
          <w:szCs w:val="20"/>
        </w:rPr>
        <w:t xml:space="preserve"> are fully guaranteed or otherwise fully supported, under a written agreement, by one or more derivatives parties referred to in this definition, other than a derivatives party referred to in paragraph (n) or (o</w:t>
      </w:r>
      <w:proofErr w:type="gramStart"/>
      <w:r w:rsidRPr="007D4E7F">
        <w:rPr>
          <w:sz w:val="22"/>
          <w:szCs w:val="20"/>
        </w:rPr>
        <w:t>);</w:t>
      </w:r>
      <w:proofErr w:type="gramEnd"/>
    </w:p>
    <w:p w14:paraId="0811EB1A" w14:textId="77777777" w:rsidR="00FE6C6E" w:rsidRDefault="00201EFA" w:rsidP="00FE6C6E">
      <w:pPr>
        <w:pStyle w:val="BodyText"/>
        <w:spacing w:before="100" w:beforeAutospacing="1" w:after="100" w:afterAutospacing="1"/>
        <w:ind w:left="1440" w:firstLine="0"/>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(q) a qualifying clearing agency.</w:t>
      </w:r>
    </w:p>
    <w:p w14:paraId="32750197" w14:textId="77777777" w:rsidR="00FE6C6E" w:rsidRPr="007D4E7F" w:rsidRDefault="00201EFA" w:rsidP="00FE6C6E">
      <w:pPr>
        <w:pStyle w:val="ListParagraph"/>
        <w:numPr>
          <w:ilvl w:val="0"/>
          <w:numId w:val="23"/>
        </w:numPr>
        <w:spacing w:line="240" w:lineRule="auto"/>
        <w:ind w:right="187"/>
        <w:jc w:val="both"/>
        <w:rPr>
          <w:bCs/>
          <w:i/>
          <w:iCs/>
          <w:color w:val="0070C0"/>
          <w:sz w:val="22"/>
          <w:lang w:val="en-CA"/>
        </w:rPr>
      </w:pPr>
      <w:r w:rsidRPr="007D4E7F">
        <w:rPr>
          <w:bCs/>
          <w:i/>
          <w:iCs/>
          <w:color w:val="0070C0"/>
          <w:sz w:val="22"/>
          <w:lang w:val="en-CA"/>
        </w:rPr>
        <w:t xml:space="preserve">If the Named Person is an individual and has not checked any box in </w:t>
      </w:r>
      <w:bookmarkStart w:id="8" w:name="_Hlk157422111"/>
      <w:r>
        <w:rPr>
          <w:bCs/>
          <w:i/>
          <w:iCs/>
          <w:color w:val="0070C0"/>
          <w:sz w:val="22"/>
          <w:lang w:val="en-CA"/>
        </w:rPr>
        <w:t xml:space="preserve">Part I </w:t>
      </w:r>
      <w:bookmarkEnd w:id="8"/>
      <w:r>
        <w:rPr>
          <w:bCs/>
          <w:i/>
          <w:iCs/>
          <w:color w:val="0070C0"/>
          <w:sz w:val="22"/>
          <w:lang w:val="en-CA"/>
        </w:rPr>
        <w:t>item 3</w:t>
      </w:r>
      <w:r w:rsidRPr="007D4E7F">
        <w:rPr>
          <w:bCs/>
          <w:i/>
          <w:iCs/>
          <w:color w:val="0070C0"/>
          <w:sz w:val="22"/>
          <w:lang w:val="en-CA"/>
        </w:rPr>
        <w:t>, no further questions are required to be answered.</w:t>
      </w:r>
    </w:p>
    <w:p w14:paraId="4DCAB9B9" w14:textId="77777777" w:rsidR="00FE6C6E" w:rsidRPr="007D4E7F" w:rsidRDefault="00201EFA" w:rsidP="00FE6C6E">
      <w:pPr>
        <w:pStyle w:val="ListParagraph"/>
        <w:numPr>
          <w:ilvl w:val="0"/>
          <w:numId w:val="23"/>
        </w:numPr>
        <w:spacing w:line="240" w:lineRule="auto"/>
        <w:ind w:right="187"/>
        <w:jc w:val="both"/>
        <w:rPr>
          <w:bCs/>
          <w:i/>
          <w:iCs/>
          <w:color w:val="0070C0"/>
          <w:sz w:val="22"/>
          <w:lang w:val="en-CA"/>
        </w:rPr>
      </w:pPr>
      <w:r w:rsidRPr="007D4E7F">
        <w:rPr>
          <w:bCs/>
          <w:i/>
          <w:iCs/>
          <w:color w:val="0070C0"/>
          <w:sz w:val="22"/>
          <w:lang w:val="en-CA"/>
        </w:rPr>
        <w:t xml:space="preserve">If the Named Person has checked a box in </w:t>
      </w:r>
      <w:r w:rsidRPr="00030AD6">
        <w:rPr>
          <w:bCs/>
          <w:i/>
          <w:iCs/>
          <w:color w:val="0070C0"/>
          <w:sz w:val="22"/>
          <w:lang w:val="en-CA"/>
        </w:rPr>
        <w:t xml:space="preserve">Part I </w:t>
      </w:r>
      <w:r>
        <w:rPr>
          <w:bCs/>
          <w:i/>
          <w:iCs/>
          <w:color w:val="0070C0"/>
          <w:sz w:val="22"/>
          <w:lang w:val="en-CA"/>
        </w:rPr>
        <w:t>item 3</w:t>
      </w:r>
      <w:r w:rsidRPr="007D4E7F">
        <w:rPr>
          <w:bCs/>
          <w:i/>
          <w:iCs/>
          <w:color w:val="0070C0"/>
          <w:sz w:val="22"/>
          <w:lang w:val="en-CA"/>
        </w:rPr>
        <w:t>, other than with respect to paragraph (n)</w:t>
      </w:r>
      <w:r>
        <w:rPr>
          <w:bCs/>
          <w:i/>
          <w:iCs/>
          <w:color w:val="0070C0"/>
          <w:sz w:val="22"/>
          <w:lang w:val="en-CA"/>
        </w:rPr>
        <w:t xml:space="preserve"> or</w:t>
      </w:r>
      <w:r w:rsidRPr="007D4E7F">
        <w:rPr>
          <w:bCs/>
          <w:i/>
          <w:iCs/>
          <w:color w:val="0070C0"/>
          <w:sz w:val="22"/>
          <w:lang w:val="en-CA"/>
        </w:rPr>
        <w:t xml:space="preserve"> (o</w:t>
      </w:r>
      <w:r>
        <w:rPr>
          <w:bCs/>
          <w:i/>
          <w:iCs/>
          <w:color w:val="0070C0"/>
          <w:sz w:val="22"/>
          <w:lang w:val="en-CA"/>
        </w:rPr>
        <w:t>) or (p</w:t>
      </w:r>
      <w:r w:rsidRPr="007D4E7F">
        <w:rPr>
          <w:bCs/>
          <w:i/>
          <w:iCs/>
          <w:color w:val="0070C0"/>
          <w:sz w:val="22"/>
          <w:lang w:val="en-CA"/>
        </w:rPr>
        <w:t xml:space="preserve">), </w:t>
      </w:r>
      <w:r>
        <w:rPr>
          <w:bCs/>
          <w:i/>
          <w:iCs/>
          <w:color w:val="0070C0"/>
          <w:sz w:val="22"/>
          <w:lang w:val="en-CA"/>
        </w:rPr>
        <w:t xml:space="preserve">then </w:t>
      </w:r>
      <w:r w:rsidRPr="007D4E7F">
        <w:rPr>
          <w:bCs/>
          <w:i/>
          <w:iCs/>
          <w:color w:val="0070C0"/>
          <w:sz w:val="22"/>
          <w:lang w:val="en-CA"/>
        </w:rPr>
        <w:t>skip to Part IV.</w:t>
      </w:r>
    </w:p>
    <w:p w14:paraId="7543CD10" w14:textId="77777777" w:rsidR="00FE6C6E" w:rsidRPr="007D4E7F" w:rsidRDefault="00201EFA" w:rsidP="00FE6C6E">
      <w:pPr>
        <w:pStyle w:val="ListParagraph"/>
        <w:numPr>
          <w:ilvl w:val="0"/>
          <w:numId w:val="23"/>
        </w:numPr>
        <w:spacing w:line="240" w:lineRule="auto"/>
        <w:ind w:right="187"/>
        <w:jc w:val="both"/>
        <w:rPr>
          <w:bCs/>
          <w:i/>
          <w:iCs/>
          <w:color w:val="0070C0"/>
          <w:sz w:val="22"/>
          <w:lang w:val="en-CA"/>
        </w:rPr>
      </w:pPr>
      <w:r w:rsidRPr="007D4E7F">
        <w:rPr>
          <w:bCs/>
          <w:i/>
          <w:iCs/>
          <w:color w:val="0070C0"/>
          <w:sz w:val="22"/>
          <w:lang w:val="en-CA"/>
        </w:rPr>
        <w:t xml:space="preserve">If the Named Person is an individual and </w:t>
      </w:r>
      <w:r>
        <w:rPr>
          <w:bCs/>
          <w:i/>
          <w:iCs/>
          <w:color w:val="0070C0"/>
          <w:sz w:val="22"/>
          <w:lang w:val="en-CA"/>
        </w:rPr>
        <w:t xml:space="preserve">only the box </w:t>
      </w:r>
      <w:r w:rsidRPr="007D4E7F">
        <w:rPr>
          <w:bCs/>
          <w:i/>
          <w:iCs/>
          <w:color w:val="0070C0"/>
          <w:sz w:val="22"/>
          <w:lang w:val="en-CA"/>
        </w:rPr>
        <w:t xml:space="preserve">in </w:t>
      </w:r>
      <w:r w:rsidRPr="00030AD6">
        <w:rPr>
          <w:bCs/>
          <w:i/>
          <w:iCs/>
          <w:color w:val="0070C0"/>
          <w:sz w:val="22"/>
          <w:lang w:val="en-CA"/>
        </w:rPr>
        <w:t xml:space="preserve">Part I </w:t>
      </w:r>
      <w:r>
        <w:rPr>
          <w:bCs/>
          <w:i/>
          <w:iCs/>
          <w:color w:val="0070C0"/>
          <w:sz w:val="22"/>
          <w:lang w:val="en-CA"/>
        </w:rPr>
        <w:t>item 3</w:t>
      </w:r>
      <w:r w:rsidRPr="007D4E7F">
        <w:rPr>
          <w:bCs/>
          <w:i/>
          <w:iCs/>
          <w:color w:val="0070C0"/>
          <w:sz w:val="22"/>
          <w:lang w:val="en-CA"/>
        </w:rPr>
        <w:t xml:space="preserve"> with respect to paragraph (n) (</w:t>
      </w:r>
      <w:r>
        <w:rPr>
          <w:bCs/>
          <w:i/>
          <w:iCs/>
          <w:color w:val="0070C0"/>
          <w:sz w:val="22"/>
          <w:lang w:val="en-CA"/>
        </w:rPr>
        <w:t xml:space="preserve">Eligible </w:t>
      </w:r>
      <w:r w:rsidRPr="007D4E7F">
        <w:rPr>
          <w:bCs/>
          <w:i/>
          <w:iCs/>
          <w:color w:val="0070C0"/>
          <w:sz w:val="22"/>
          <w:lang w:val="en-CA"/>
        </w:rPr>
        <w:t>Commercial Hedger)</w:t>
      </w:r>
      <w:r>
        <w:rPr>
          <w:bCs/>
          <w:i/>
          <w:iCs/>
          <w:color w:val="0070C0"/>
          <w:sz w:val="22"/>
          <w:lang w:val="en-CA"/>
        </w:rPr>
        <w:t xml:space="preserve"> is checked, then </w:t>
      </w:r>
      <w:r w:rsidRPr="007D4E7F">
        <w:rPr>
          <w:bCs/>
          <w:i/>
          <w:iCs/>
          <w:color w:val="0070C0"/>
          <w:sz w:val="22"/>
          <w:lang w:val="en-CA"/>
        </w:rPr>
        <w:t>complete Part</w:t>
      </w:r>
      <w:r>
        <w:rPr>
          <w:bCs/>
          <w:i/>
          <w:iCs/>
          <w:color w:val="0070C0"/>
          <w:sz w:val="22"/>
          <w:lang w:val="en-CA"/>
        </w:rPr>
        <w:t>s</w:t>
      </w:r>
      <w:r w:rsidRPr="007D4E7F">
        <w:rPr>
          <w:bCs/>
          <w:i/>
          <w:iCs/>
          <w:color w:val="0070C0"/>
          <w:sz w:val="22"/>
          <w:lang w:val="en-CA"/>
        </w:rPr>
        <w:t xml:space="preserve"> II and III but skip Part IV.</w:t>
      </w:r>
    </w:p>
    <w:p w14:paraId="451EDD5E" w14:textId="77777777" w:rsidR="00FE6C6E" w:rsidRDefault="00201EFA" w:rsidP="00FE6C6E">
      <w:pPr>
        <w:pStyle w:val="ListParagraph"/>
        <w:numPr>
          <w:ilvl w:val="0"/>
          <w:numId w:val="23"/>
        </w:numPr>
        <w:spacing w:line="240" w:lineRule="auto"/>
        <w:ind w:right="187"/>
        <w:jc w:val="both"/>
        <w:rPr>
          <w:bCs/>
          <w:i/>
          <w:iCs/>
          <w:color w:val="0070C0"/>
          <w:sz w:val="22"/>
          <w:lang w:val="en-CA"/>
        </w:rPr>
      </w:pPr>
      <w:r w:rsidRPr="007D4E7F">
        <w:rPr>
          <w:bCs/>
          <w:i/>
          <w:iCs/>
          <w:color w:val="0070C0"/>
          <w:sz w:val="22"/>
          <w:lang w:val="en-CA"/>
        </w:rPr>
        <w:t xml:space="preserve">If </w:t>
      </w:r>
      <w:r>
        <w:rPr>
          <w:bCs/>
          <w:i/>
          <w:iCs/>
          <w:color w:val="0070C0"/>
          <w:sz w:val="22"/>
          <w:lang w:val="en-CA"/>
        </w:rPr>
        <w:t xml:space="preserve">the Named Person is </w:t>
      </w:r>
      <w:r w:rsidRPr="006A1266">
        <w:rPr>
          <w:bCs/>
          <w:i/>
          <w:iCs/>
          <w:color w:val="0070C0"/>
          <w:sz w:val="22"/>
          <w:u w:val="single"/>
          <w:lang w:val="en-CA"/>
        </w:rPr>
        <w:t>not</w:t>
      </w:r>
      <w:r>
        <w:rPr>
          <w:bCs/>
          <w:i/>
          <w:iCs/>
          <w:color w:val="0070C0"/>
          <w:sz w:val="22"/>
          <w:lang w:val="en-CA"/>
        </w:rPr>
        <w:t xml:space="preserve"> an individual and </w:t>
      </w:r>
      <w:r w:rsidRPr="006A1266">
        <w:rPr>
          <w:bCs/>
          <w:i/>
          <w:iCs/>
          <w:color w:val="0070C0"/>
          <w:sz w:val="22"/>
          <w:lang w:val="en-CA"/>
        </w:rPr>
        <w:t>only</w:t>
      </w:r>
      <w:r w:rsidRPr="007D4E7F">
        <w:rPr>
          <w:bCs/>
          <w:i/>
          <w:iCs/>
          <w:color w:val="0070C0"/>
          <w:sz w:val="22"/>
          <w:lang w:val="en-CA"/>
        </w:rPr>
        <w:t xml:space="preserve"> the box in </w:t>
      </w:r>
      <w:r w:rsidRPr="00030AD6">
        <w:rPr>
          <w:bCs/>
          <w:i/>
          <w:iCs/>
          <w:color w:val="0070C0"/>
          <w:sz w:val="22"/>
          <w:lang w:val="en-CA"/>
        </w:rPr>
        <w:t xml:space="preserve">Part I </w:t>
      </w:r>
      <w:r>
        <w:rPr>
          <w:bCs/>
          <w:i/>
          <w:iCs/>
          <w:color w:val="0070C0"/>
          <w:sz w:val="22"/>
          <w:lang w:val="en-CA"/>
        </w:rPr>
        <w:t>item 3</w:t>
      </w:r>
      <w:r w:rsidRPr="007D4E7F">
        <w:rPr>
          <w:bCs/>
          <w:i/>
          <w:iCs/>
          <w:color w:val="0070C0"/>
          <w:sz w:val="22"/>
          <w:lang w:val="en-CA"/>
        </w:rPr>
        <w:t xml:space="preserve"> with respect to paragraph (n) (</w:t>
      </w:r>
      <w:r>
        <w:rPr>
          <w:bCs/>
          <w:i/>
          <w:iCs/>
          <w:color w:val="0070C0"/>
          <w:sz w:val="22"/>
          <w:lang w:val="en-CA"/>
        </w:rPr>
        <w:t xml:space="preserve">Eligible </w:t>
      </w:r>
      <w:r w:rsidRPr="007D4E7F">
        <w:rPr>
          <w:bCs/>
          <w:i/>
          <w:iCs/>
          <w:color w:val="0070C0"/>
          <w:sz w:val="22"/>
          <w:lang w:val="en-CA"/>
        </w:rPr>
        <w:t>Commercial Hedger) is checked, then complete Part II but skip Parts III and IV.</w:t>
      </w:r>
    </w:p>
    <w:p w14:paraId="4C1F310B" w14:textId="77777777" w:rsidR="00FE6C6E" w:rsidRDefault="00201EFA" w:rsidP="00FE6C6E">
      <w:pPr>
        <w:pStyle w:val="ListParagraph"/>
        <w:numPr>
          <w:ilvl w:val="0"/>
          <w:numId w:val="23"/>
        </w:numPr>
        <w:spacing w:line="240" w:lineRule="auto"/>
        <w:ind w:right="187"/>
        <w:jc w:val="both"/>
        <w:rPr>
          <w:bCs/>
          <w:i/>
          <w:iCs/>
          <w:color w:val="0070C0"/>
          <w:sz w:val="22"/>
          <w:lang w:val="en-CA"/>
        </w:rPr>
      </w:pPr>
      <w:r>
        <w:rPr>
          <w:bCs/>
          <w:i/>
          <w:iCs/>
          <w:color w:val="0070C0"/>
          <w:sz w:val="22"/>
          <w:lang w:val="en-CA"/>
        </w:rPr>
        <w:t>If the box in Part I item 3 with respect to paragraph (o) (Individuals (EDP)) is checked, then complete Part II but skip Parts III and IV.</w:t>
      </w:r>
    </w:p>
    <w:p w14:paraId="63A9614A" w14:textId="77777777" w:rsidR="00FE6C6E" w:rsidRPr="007D4E7F" w:rsidRDefault="00201EFA" w:rsidP="00FE6C6E">
      <w:pPr>
        <w:pStyle w:val="ListParagraph"/>
        <w:numPr>
          <w:ilvl w:val="0"/>
          <w:numId w:val="23"/>
        </w:numPr>
        <w:spacing w:line="240" w:lineRule="auto"/>
        <w:ind w:right="187"/>
        <w:jc w:val="both"/>
        <w:rPr>
          <w:bCs/>
          <w:i/>
          <w:iCs/>
          <w:color w:val="0070C0"/>
          <w:sz w:val="22"/>
          <w:lang w:val="en-CA"/>
        </w:rPr>
      </w:pPr>
      <w:r>
        <w:rPr>
          <w:bCs/>
          <w:i/>
          <w:iCs/>
          <w:color w:val="0070C0"/>
          <w:sz w:val="22"/>
          <w:lang w:val="en-CA"/>
        </w:rPr>
        <w:t>If the box in Part I item 3 with respect to paragraph (p) (Guaranteed by EDP) is checked, complete Part I items 4 and 5, then skip to Part IV.</w:t>
      </w:r>
    </w:p>
    <w:p w14:paraId="74063C1B" w14:textId="77777777" w:rsidR="00FE6C6E" w:rsidRPr="007D4E7F" w:rsidRDefault="00FE6C6E" w:rsidP="00FE6C6E">
      <w:pPr>
        <w:pStyle w:val="ListParagraph"/>
        <w:spacing w:line="240" w:lineRule="auto"/>
        <w:ind w:right="187"/>
        <w:jc w:val="both"/>
        <w:rPr>
          <w:bCs/>
          <w:i/>
          <w:iCs/>
          <w:color w:val="0070C0"/>
          <w:sz w:val="22"/>
          <w:lang w:val="en-CA"/>
        </w:rPr>
      </w:pPr>
    </w:p>
    <w:p w14:paraId="2E3CCB0D" w14:textId="77777777" w:rsidR="00FE6C6E" w:rsidRDefault="00201EFA" w:rsidP="00FE6C6E">
      <w:pPr>
        <w:pStyle w:val="ListParagraph"/>
        <w:numPr>
          <w:ilvl w:val="0"/>
          <w:numId w:val="24"/>
        </w:numPr>
        <w:spacing w:line="240" w:lineRule="auto"/>
        <w:ind w:right="187"/>
        <w:jc w:val="both"/>
        <w:rPr>
          <w:b/>
          <w:sz w:val="22"/>
          <w:u w:val="single"/>
          <w:lang w:val="en-CA"/>
        </w:rPr>
      </w:pPr>
      <w:r>
        <w:rPr>
          <w:bCs/>
          <w:sz w:val="22"/>
        </w:rPr>
        <w:t xml:space="preserve">The Named Person represents that </w:t>
      </w:r>
      <w:r>
        <w:rPr>
          <w:sz w:val="22"/>
          <w:szCs w:val="20"/>
        </w:rPr>
        <w:t xml:space="preserve">its obligations under derivatives that it transacts with the Recipient are fully guaranteed or otherwise fully supported, under a written agreement, by one or more derivatives parties to which </w:t>
      </w:r>
      <w:r>
        <w:rPr>
          <w:bCs/>
          <w:sz w:val="22"/>
        </w:rPr>
        <w:t xml:space="preserve">the following paragraphs </w:t>
      </w:r>
      <w:r>
        <w:rPr>
          <w:bCs/>
          <w:sz w:val="22"/>
          <w:lang w:val="en-CA"/>
        </w:rPr>
        <w:t>of the definition of Eligible Derivatives Party under the Business Conduct Rule apply:</w:t>
      </w:r>
      <w:r>
        <w:rPr>
          <w:rStyle w:val="FootnoteReference"/>
          <w:bCs/>
          <w:sz w:val="22"/>
          <w:lang w:val="en-CA"/>
        </w:rPr>
        <w:footnoteReference w:id="11"/>
      </w:r>
      <w:r>
        <w:rPr>
          <w:bCs/>
          <w:sz w:val="22"/>
          <w:lang w:val="en-CA"/>
        </w:rPr>
        <w:t xml:space="preserve"> </w:t>
      </w:r>
    </w:p>
    <w:p w14:paraId="6D467348" w14:textId="77777777" w:rsidR="00FE6C6E" w:rsidRDefault="00FE6C6E" w:rsidP="00FE6C6E">
      <w:pPr>
        <w:pStyle w:val="ListParagraph"/>
        <w:spacing w:line="240" w:lineRule="auto"/>
        <w:ind w:right="187"/>
        <w:jc w:val="both"/>
        <w:rPr>
          <w:bCs/>
          <w:i/>
          <w:iCs/>
          <w:color w:val="0070C0"/>
          <w:sz w:val="22"/>
        </w:rPr>
      </w:pPr>
    </w:p>
    <w:p w14:paraId="42C18EE3" w14:textId="77777777" w:rsidR="00FE6C6E" w:rsidRDefault="00201EFA" w:rsidP="00FE6C6E">
      <w:pPr>
        <w:pStyle w:val="ListParagraph"/>
        <w:spacing w:line="240" w:lineRule="auto"/>
        <w:ind w:right="187"/>
        <w:jc w:val="both"/>
        <w:rPr>
          <w:b/>
          <w:sz w:val="22"/>
          <w:u w:val="single"/>
          <w:lang w:val="en-CA"/>
        </w:rPr>
      </w:pPr>
      <w:r>
        <w:rPr>
          <w:bCs/>
          <w:i/>
          <w:iCs/>
          <w:color w:val="0070C0"/>
          <w:sz w:val="22"/>
        </w:rPr>
        <w:t xml:space="preserve">Complete </w:t>
      </w:r>
      <w:proofErr w:type="gramStart"/>
      <w:r>
        <w:rPr>
          <w:bCs/>
          <w:i/>
          <w:iCs/>
          <w:color w:val="0070C0"/>
          <w:sz w:val="22"/>
        </w:rPr>
        <w:t xml:space="preserve">this </w:t>
      </w:r>
      <w:r w:rsidRPr="00030AD6">
        <w:rPr>
          <w:bCs/>
          <w:i/>
          <w:iCs/>
          <w:color w:val="0070C0"/>
          <w:sz w:val="22"/>
        </w:rPr>
        <w:t>Part</w:t>
      </w:r>
      <w:proofErr w:type="gramEnd"/>
      <w:r w:rsidRPr="00030AD6">
        <w:rPr>
          <w:bCs/>
          <w:i/>
          <w:iCs/>
          <w:color w:val="0070C0"/>
          <w:sz w:val="22"/>
        </w:rPr>
        <w:t xml:space="preserve"> I </w:t>
      </w:r>
      <w:r>
        <w:rPr>
          <w:bCs/>
          <w:i/>
          <w:iCs/>
          <w:color w:val="0070C0"/>
          <w:sz w:val="22"/>
        </w:rPr>
        <w:t>item</w:t>
      </w:r>
      <w:r>
        <w:rPr>
          <w:bCs/>
          <w:i/>
          <w:iCs/>
          <w:color w:val="0070C0"/>
          <w:sz w:val="22"/>
          <w:lang w:val="en-CA"/>
        </w:rPr>
        <w:t xml:space="preserve"> 4 if the box in </w:t>
      </w:r>
      <w:r w:rsidRPr="00030AD6">
        <w:rPr>
          <w:bCs/>
          <w:i/>
          <w:iCs/>
          <w:color w:val="0070C0"/>
          <w:sz w:val="22"/>
          <w:lang w:val="en-CA"/>
        </w:rPr>
        <w:t xml:space="preserve">Part I </w:t>
      </w:r>
      <w:r>
        <w:rPr>
          <w:bCs/>
          <w:i/>
          <w:iCs/>
          <w:color w:val="0070C0"/>
          <w:sz w:val="22"/>
          <w:lang w:val="en-CA"/>
        </w:rPr>
        <w:t xml:space="preserve">item 3 with respect to paragraph (p) (Guaranteed by EDP) is checked.  </w:t>
      </w:r>
      <w:r>
        <w:rPr>
          <w:bCs/>
          <w:i/>
          <w:iCs/>
          <w:color w:val="0070C0"/>
          <w:sz w:val="22"/>
        </w:rPr>
        <w:t xml:space="preserve"> Select all that apply, then complete </w:t>
      </w:r>
      <w:r w:rsidRPr="00030AD6">
        <w:rPr>
          <w:bCs/>
          <w:i/>
          <w:iCs/>
          <w:color w:val="0070C0"/>
          <w:sz w:val="22"/>
        </w:rPr>
        <w:t xml:space="preserve">Part I </w:t>
      </w:r>
      <w:r>
        <w:rPr>
          <w:bCs/>
          <w:i/>
          <w:iCs/>
          <w:color w:val="0070C0"/>
          <w:sz w:val="22"/>
        </w:rPr>
        <w:t>item 5.</w:t>
      </w:r>
    </w:p>
    <w:p w14:paraId="16936C84" w14:textId="77777777" w:rsidR="00FE6C6E" w:rsidRDefault="00201EFA" w:rsidP="00FE6C6E">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lang w:val="en-CA"/>
        </w:rPr>
        <w:fldChar w:fldCharType="end"/>
      </w:r>
      <w:r>
        <w:rPr>
          <w:bCs/>
          <w:sz w:val="22"/>
          <w:lang w:val="en-CA"/>
        </w:rPr>
        <w:t xml:space="preserve"> </w:t>
      </w:r>
      <w:r>
        <w:rPr>
          <w:sz w:val="22"/>
          <w:szCs w:val="20"/>
        </w:rPr>
        <w:t xml:space="preserve">(a) a Canadian financial </w:t>
      </w:r>
      <w:proofErr w:type="gramStart"/>
      <w:r>
        <w:rPr>
          <w:sz w:val="22"/>
          <w:szCs w:val="20"/>
        </w:rPr>
        <w:t>institution;</w:t>
      </w:r>
      <w:proofErr w:type="gramEnd"/>
    </w:p>
    <w:p w14:paraId="30B6B375" w14:textId="77777777" w:rsidR="00FE6C6E" w:rsidRDefault="00201EFA" w:rsidP="00FE6C6E">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lang w:val="en-CA"/>
        </w:rPr>
        <w:fldChar w:fldCharType="end"/>
      </w:r>
      <w:r>
        <w:rPr>
          <w:bCs/>
          <w:sz w:val="22"/>
          <w:lang w:val="en-CA"/>
        </w:rPr>
        <w:t xml:space="preserve"> </w:t>
      </w:r>
      <w:r>
        <w:rPr>
          <w:sz w:val="22"/>
          <w:szCs w:val="20"/>
        </w:rPr>
        <w:t xml:space="preserve">(b)  the Business Development Bank of Canada continued under the </w:t>
      </w:r>
      <w:r>
        <w:rPr>
          <w:i/>
          <w:iCs/>
          <w:sz w:val="22"/>
          <w:szCs w:val="20"/>
        </w:rPr>
        <w:t xml:space="preserve">Business Development Bank of Canada Act </w:t>
      </w:r>
      <w:r>
        <w:rPr>
          <w:sz w:val="22"/>
          <w:szCs w:val="20"/>
        </w:rPr>
        <w:t>(Canada</w:t>
      </w:r>
      <w:proofErr w:type="gramStart"/>
      <w:r>
        <w:rPr>
          <w:sz w:val="22"/>
          <w:szCs w:val="20"/>
        </w:rPr>
        <w:t>);</w:t>
      </w:r>
      <w:proofErr w:type="gramEnd"/>
    </w:p>
    <w:p w14:paraId="6C0F6F7C" w14:textId="77777777" w:rsidR="00FE6C6E" w:rsidRDefault="00201EFA" w:rsidP="00FE6C6E">
      <w:pPr>
        <w:pStyle w:val="BodyText"/>
        <w:spacing w:before="100" w:beforeAutospacing="1" w:after="120" w:line="240" w:lineRule="exact"/>
        <w:ind w:left="1440" w:right="187" w:firstLine="0"/>
        <w:jc w:val="both"/>
        <w:rPr>
          <w:sz w:val="22"/>
          <w:szCs w:val="20"/>
        </w:rPr>
      </w:pPr>
      <w:r>
        <w:rPr>
          <w:bCs/>
          <w:sz w:val="22"/>
        </w:rPr>
        <w:lastRenderedPageBreak/>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lang w:val="en-CA"/>
        </w:rPr>
        <w:fldChar w:fldCharType="end"/>
      </w:r>
      <w:r>
        <w:rPr>
          <w:bCs/>
          <w:sz w:val="22"/>
          <w:lang w:val="en-CA"/>
        </w:rPr>
        <w:t xml:space="preserve"> </w:t>
      </w:r>
      <w:r>
        <w:rPr>
          <w:sz w:val="22"/>
          <w:szCs w:val="20"/>
        </w:rPr>
        <w:t xml:space="preserve">(c) a subsidiary of a person or company referred to in paragraph (a) or (b), if the person or company owns all of the voting securities of the subsidiary, except the voting securities required by law to be owned by directors of the </w:t>
      </w:r>
      <w:proofErr w:type="gramStart"/>
      <w:r>
        <w:rPr>
          <w:sz w:val="22"/>
          <w:szCs w:val="20"/>
        </w:rPr>
        <w:t>subsidiary;</w:t>
      </w:r>
      <w:proofErr w:type="gramEnd"/>
    </w:p>
    <w:p w14:paraId="2734DC0A" w14:textId="77777777" w:rsidR="00FE6C6E" w:rsidRDefault="00201EFA" w:rsidP="00FE6C6E">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lang w:val="en-CA"/>
        </w:rPr>
        <w:fldChar w:fldCharType="end"/>
      </w:r>
      <w:r>
        <w:rPr>
          <w:bCs/>
          <w:sz w:val="22"/>
          <w:lang w:val="en-CA"/>
        </w:rPr>
        <w:t xml:space="preserve"> </w:t>
      </w:r>
      <w:r>
        <w:rPr>
          <w:sz w:val="22"/>
          <w:szCs w:val="20"/>
        </w:rPr>
        <w:t>(d) a person or company registered under the securities legislation of a jurisdiction of Canada as any of the following:</w:t>
      </w:r>
    </w:p>
    <w:p w14:paraId="31EA2601" w14:textId="77777777" w:rsidR="00FE6C6E" w:rsidRDefault="00201EFA" w:rsidP="00FE6C6E">
      <w:pPr>
        <w:pStyle w:val="BodyText"/>
        <w:spacing w:before="100" w:beforeAutospacing="1" w:after="0"/>
        <w:ind w:left="1440" w:firstLine="0"/>
        <w:rPr>
          <w:sz w:val="22"/>
          <w:szCs w:val="20"/>
        </w:rPr>
      </w:pPr>
      <w:r>
        <w:rPr>
          <w:sz w:val="22"/>
          <w:szCs w:val="20"/>
        </w:rPr>
        <w:tab/>
        <w:t>(i) a derivatives dealer;</w:t>
      </w:r>
      <w:r>
        <w:rPr>
          <w:sz w:val="22"/>
          <w:szCs w:val="20"/>
        </w:rPr>
        <w:br/>
      </w:r>
      <w:r>
        <w:rPr>
          <w:sz w:val="22"/>
          <w:szCs w:val="20"/>
        </w:rPr>
        <w:tab/>
        <w:t xml:space="preserve">(ii) a derivatives </w:t>
      </w:r>
      <w:proofErr w:type="gramStart"/>
      <w:r>
        <w:rPr>
          <w:sz w:val="22"/>
          <w:szCs w:val="20"/>
        </w:rPr>
        <w:t>adviser;</w:t>
      </w:r>
      <w:proofErr w:type="gramEnd"/>
    </w:p>
    <w:p w14:paraId="7EC0BAF1" w14:textId="77777777" w:rsidR="00FE6C6E" w:rsidRDefault="00201EFA" w:rsidP="00FE6C6E">
      <w:pPr>
        <w:pStyle w:val="BodyText"/>
        <w:spacing w:after="0"/>
        <w:ind w:left="1440"/>
        <w:rPr>
          <w:sz w:val="22"/>
          <w:szCs w:val="20"/>
        </w:rPr>
      </w:pPr>
      <w:r>
        <w:rPr>
          <w:sz w:val="22"/>
          <w:szCs w:val="20"/>
        </w:rPr>
        <w:t xml:space="preserve">(iii) an </w:t>
      </w:r>
      <w:proofErr w:type="gramStart"/>
      <w:r>
        <w:rPr>
          <w:sz w:val="22"/>
          <w:szCs w:val="20"/>
        </w:rPr>
        <w:t>adviser;</w:t>
      </w:r>
      <w:proofErr w:type="gramEnd"/>
    </w:p>
    <w:p w14:paraId="42D0B3CD" w14:textId="77777777" w:rsidR="00FE6C6E" w:rsidRDefault="00201EFA" w:rsidP="00FE6C6E">
      <w:pPr>
        <w:pStyle w:val="BodyText"/>
        <w:spacing w:after="100" w:afterAutospacing="1"/>
        <w:ind w:left="1440"/>
        <w:rPr>
          <w:sz w:val="22"/>
          <w:szCs w:val="20"/>
        </w:rPr>
      </w:pPr>
      <w:r>
        <w:rPr>
          <w:sz w:val="22"/>
          <w:szCs w:val="20"/>
        </w:rPr>
        <w:t xml:space="preserve">(iv) an investment </w:t>
      </w:r>
      <w:proofErr w:type="gramStart"/>
      <w:r>
        <w:rPr>
          <w:sz w:val="22"/>
          <w:szCs w:val="20"/>
        </w:rPr>
        <w:t>dealer;</w:t>
      </w:r>
      <w:proofErr w:type="gramEnd"/>
    </w:p>
    <w:p w14:paraId="5B8E89E0" w14:textId="77777777" w:rsidR="00FE6C6E" w:rsidRDefault="00201EFA" w:rsidP="00FE6C6E">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lang w:val="en-CA"/>
        </w:rPr>
        <w:fldChar w:fldCharType="end"/>
      </w:r>
      <w:r>
        <w:rPr>
          <w:bCs/>
          <w:sz w:val="22"/>
          <w:lang w:val="en-CA"/>
        </w:rPr>
        <w:t xml:space="preserve"> </w:t>
      </w:r>
      <w:r>
        <w:rPr>
          <w:sz w:val="22"/>
          <w:szCs w:val="20"/>
        </w:rPr>
        <w:t xml:space="preserve">(e) a pension fund that is regulated by the federal Office of the Superintendent of Financial Institutions or a pension commission or similar regulatory authority of a jurisdiction of Canada or a </w:t>
      </w:r>
      <w:proofErr w:type="gramStart"/>
      <w:r>
        <w:rPr>
          <w:sz w:val="22"/>
          <w:szCs w:val="20"/>
        </w:rPr>
        <w:t>wholly-owned</w:t>
      </w:r>
      <w:proofErr w:type="gramEnd"/>
      <w:r>
        <w:rPr>
          <w:sz w:val="22"/>
          <w:szCs w:val="20"/>
        </w:rPr>
        <w:t xml:space="preserve"> subsidiary of the pension fund;</w:t>
      </w:r>
    </w:p>
    <w:p w14:paraId="064C3E61" w14:textId="77777777" w:rsidR="00FE6C6E" w:rsidRDefault="00201EFA" w:rsidP="00FE6C6E">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lang w:val="en-CA"/>
        </w:rPr>
        <w:fldChar w:fldCharType="end"/>
      </w:r>
      <w:r>
        <w:rPr>
          <w:bCs/>
          <w:sz w:val="22"/>
          <w:lang w:val="en-CA"/>
        </w:rPr>
        <w:t xml:space="preserve"> </w:t>
      </w:r>
      <w:r>
        <w:rPr>
          <w:sz w:val="22"/>
          <w:szCs w:val="20"/>
        </w:rPr>
        <w:t>(f) an entity organized under the laws of a foreign jurisdiction that is analogous to any of the entities referred to in paragraphs (a) to (e</w:t>
      </w:r>
      <w:proofErr w:type="gramStart"/>
      <w:r>
        <w:rPr>
          <w:sz w:val="22"/>
          <w:szCs w:val="20"/>
        </w:rPr>
        <w:t>);</w:t>
      </w:r>
      <w:proofErr w:type="gramEnd"/>
    </w:p>
    <w:p w14:paraId="3601C736" w14:textId="77777777" w:rsidR="00FE6C6E" w:rsidRDefault="00201EFA" w:rsidP="00FE6C6E">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lang w:val="en-CA"/>
        </w:rPr>
        <w:fldChar w:fldCharType="end"/>
      </w:r>
      <w:r>
        <w:rPr>
          <w:bCs/>
          <w:sz w:val="22"/>
          <w:lang w:val="en-CA"/>
        </w:rPr>
        <w:t xml:space="preserve"> </w:t>
      </w:r>
      <w:r>
        <w:rPr>
          <w:sz w:val="22"/>
          <w:szCs w:val="20"/>
        </w:rPr>
        <w:t xml:space="preserve">(g) the Government of Canada or the government of a jurisdiction of Canada, or any crown corporation, agency or </w:t>
      </w:r>
      <w:proofErr w:type="gramStart"/>
      <w:r>
        <w:rPr>
          <w:sz w:val="22"/>
          <w:szCs w:val="20"/>
        </w:rPr>
        <w:t>wholly-owned</w:t>
      </w:r>
      <w:proofErr w:type="gramEnd"/>
      <w:r>
        <w:rPr>
          <w:sz w:val="22"/>
          <w:szCs w:val="20"/>
        </w:rPr>
        <w:t xml:space="preserve"> entity of the Government of Canada or the government of a jurisdiction of Canada;</w:t>
      </w:r>
    </w:p>
    <w:p w14:paraId="7D443064" w14:textId="77777777" w:rsidR="00FE6C6E" w:rsidRDefault="00201EFA" w:rsidP="00FE6C6E">
      <w:pPr>
        <w:pStyle w:val="BodyText"/>
        <w:spacing w:before="100" w:beforeAutospacing="1" w:after="100" w:afterAutospacing="1"/>
        <w:ind w:left="1440" w:firstLine="0"/>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lang w:val="en-CA"/>
        </w:rPr>
        <w:fldChar w:fldCharType="end"/>
      </w:r>
      <w:r>
        <w:rPr>
          <w:bCs/>
          <w:sz w:val="22"/>
          <w:lang w:val="en-CA"/>
        </w:rPr>
        <w:t xml:space="preserve"> </w:t>
      </w:r>
      <w:r>
        <w:rPr>
          <w:sz w:val="22"/>
          <w:szCs w:val="20"/>
        </w:rPr>
        <w:t xml:space="preserve">(h) a government of a foreign jurisdiction or any agency of that </w:t>
      </w:r>
      <w:proofErr w:type="gramStart"/>
      <w:r>
        <w:rPr>
          <w:sz w:val="22"/>
          <w:szCs w:val="20"/>
        </w:rPr>
        <w:t>government;</w:t>
      </w:r>
      <w:proofErr w:type="gramEnd"/>
    </w:p>
    <w:p w14:paraId="3C015AFF" w14:textId="77777777" w:rsidR="00FE6C6E" w:rsidRDefault="00201EFA" w:rsidP="00FE6C6E">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lang w:val="en-CA"/>
        </w:rPr>
        <w:fldChar w:fldCharType="end"/>
      </w:r>
      <w:r>
        <w:rPr>
          <w:bCs/>
          <w:sz w:val="22"/>
          <w:lang w:val="en-CA"/>
        </w:rPr>
        <w:t xml:space="preserve"> </w:t>
      </w:r>
      <w:r>
        <w:rPr>
          <w:sz w:val="22"/>
          <w:szCs w:val="20"/>
        </w:rPr>
        <w:t xml:space="preserve">(i) a municipality, public board or commission in Canada and a metropolitan community, school board, the </w:t>
      </w:r>
      <w:proofErr w:type="spellStart"/>
      <w:r>
        <w:rPr>
          <w:sz w:val="22"/>
          <w:szCs w:val="20"/>
        </w:rPr>
        <w:t>Comité</w:t>
      </w:r>
      <w:proofErr w:type="spellEnd"/>
      <w:r>
        <w:rPr>
          <w:sz w:val="22"/>
          <w:szCs w:val="20"/>
        </w:rPr>
        <w:t xml:space="preserve"> de gestion de la </w:t>
      </w:r>
      <w:proofErr w:type="spellStart"/>
      <w:r>
        <w:rPr>
          <w:sz w:val="22"/>
          <w:szCs w:val="20"/>
        </w:rPr>
        <w:t>taxe</w:t>
      </w:r>
      <w:proofErr w:type="spellEnd"/>
      <w:r>
        <w:rPr>
          <w:sz w:val="22"/>
          <w:szCs w:val="20"/>
        </w:rPr>
        <w:t xml:space="preserve"> </w:t>
      </w:r>
      <w:proofErr w:type="spellStart"/>
      <w:r>
        <w:rPr>
          <w:sz w:val="22"/>
          <w:szCs w:val="20"/>
        </w:rPr>
        <w:t>scolaire</w:t>
      </w:r>
      <w:proofErr w:type="spellEnd"/>
      <w:r>
        <w:rPr>
          <w:sz w:val="22"/>
          <w:szCs w:val="20"/>
        </w:rPr>
        <w:t xml:space="preserve"> de </w:t>
      </w:r>
      <w:proofErr w:type="spellStart"/>
      <w:r>
        <w:rPr>
          <w:sz w:val="22"/>
          <w:szCs w:val="20"/>
        </w:rPr>
        <w:t>l’île</w:t>
      </w:r>
      <w:proofErr w:type="spellEnd"/>
      <w:r>
        <w:rPr>
          <w:sz w:val="22"/>
          <w:szCs w:val="20"/>
        </w:rPr>
        <w:t xml:space="preserve"> de Montréal or an intermunicipal management board in </w:t>
      </w:r>
      <w:proofErr w:type="gramStart"/>
      <w:r>
        <w:rPr>
          <w:sz w:val="22"/>
          <w:szCs w:val="20"/>
        </w:rPr>
        <w:t>Québec;</w:t>
      </w:r>
      <w:proofErr w:type="gramEnd"/>
    </w:p>
    <w:p w14:paraId="1B0CCD6B" w14:textId="77777777" w:rsidR="00FE6C6E" w:rsidRDefault="00201EFA" w:rsidP="00FE6C6E">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lang w:val="en-CA"/>
        </w:rPr>
        <w:fldChar w:fldCharType="end"/>
      </w:r>
      <w:r>
        <w:rPr>
          <w:bCs/>
          <w:sz w:val="22"/>
          <w:lang w:val="en-CA"/>
        </w:rPr>
        <w:t xml:space="preserve"> </w:t>
      </w:r>
      <w:r>
        <w:rPr>
          <w:sz w:val="22"/>
          <w:szCs w:val="20"/>
        </w:rPr>
        <w:t xml:space="preserve">(j) a trust company or trust corporation registered or authorized to carry on business under the </w:t>
      </w:r>
      <w:r>
        <w:rPr>
          <w:i/>
          <w:iCs/>
          <w:sz w:val="22"/>
          <w:szCs w:val="20"/>
        </w:rPr>
        <w:t xml:space="preserve">Trust and Loan Companies Act </w:t>
      </w:r>
      <w:r>
        <w:rPr>
          <w:sz w:val="22"/>
          <w:szCs w:val="20"/>
        </w:rPr>
        <w:t xml:space="preserve">(Canada) or under comparable legislation in a jurisdiction of Canada or a foreign jurisdiction, acting on behalf of a managed account managed by the trust company or trust corporation, as the case may </w:t>
      </w:r>
      <w:proofErr w:type="gramStart"/>
      <w:r>
        <w:rPr>
          <w:sz w:val="22"/>
          <w:szCs w:val="20"/>
        </w:rPr>
        <w:t>be;</w:t>
      </w:r>
      <w:proofErr w:type="gramEnd"/>
    </w:p>
    <w:p w14:paraId="5531411C" w14:textId="77777777" w:rsidR="00FE6C6E" w:rsidRDefault="00201EFA" w:rsidP="00FE6C6E">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lang w:val="en-CA"/>
        </w:rPr>
        <w:fldChar w:fldCharType="end"/>
      </w:r>
      <w:r>
        <w:rPr>
          <w:bCs/>
          <w:sz w:val="22"/>
          <w:lang w:val="en-CA"/>
        </w:rPr>
        <w:t xml:space="preserve"> </w:t>
      </w:r>
      <w:r>
        <w:rPr>
          <w:sz w:val="22"/>
          <w:szCs w:val="20"/>
        </w:rPr>
        <w:t xml:space="preserve">(k) a person or company that is acting on behalf of a managed account if the person or company is registered or authorized to carry on business as either of the following: (i) an adviser or a derivatives adviser in a jurisdiction of Canada or (ii) the equivalent of an adviser or a derivatives adviser under the securities legislation of a jurisdiction of Canada or a foreign </w:t>
      </w:r>
      <w:proofErr w:type="gramStart"/>
      <w:r>
        <w:rPr>
          <w:sz w:val="22"/>
          <w:szCs w:val="20"/>
        </w:rPr>
        <w:t>jurisdiction;</w:t>
      </w:r>
      <w:proofErr w:type="gramEnd"/>
    </w:p>
    <w:p w14:paraId="5D9BB4B3" w14:textId="05CA097F" w:rsidR="00FE6C6E" w:rsidRDefault="00201EFA" w:rsidP="00FE6C6E">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lang w:val="en-CA"/>
        </w:rPr>
        <w:fldChar w:fldCharType="end"/>
      </w:r>
      <w:r>
        <w:rPr>
          <w:bCs/>
          <w:sz w:val="22"/>
          <w:lang w:val="en-CA"/>
        </w:rPr>
        <w:t xml:space="preserve"> </w:t>
      </w:r>
      <w:r>
        <w:rPr>
          <w:sz w:val="22"/>
          <w:szCs w:val="20"/>
        </w:rPr>
        <w:t xml:space="preserve">(l) </w:t>
      </w:r>
      <w:r w:rsidRPr="007D4E7F">
        <w:rPr>
          <w:sz w:val="22"/>
          <w:szCs w:val="20"/>
        </w:rPr>
        <w:t xml:space="preserve">an investment fund if either of the following apply: the investment fund is </w:t>
      </w:r>
      <w:r>
        <w:rPr>
          <w:sz w:val="22"/>
          <w:szCs w:val="20"/>
        </w:rPr>
        <w:t xml:space="preserve">(A)(i) </w:t>
      </w:r>
      <w:r w:rsidRPr="007D4E7F">
        <w:rPr>
          <w:sz w:val="22"/>
          <w:szCs w:val="20"/>
        </w:rPr>
        <w:t>managed by a person or company registered as an investment fund manager under the securities legislation of a jurisdiction of Canada</w:t>
      </w:r>
      <w:r>
        <w:rPr>
          <w:sz w:val="22"/>
          <w:szCs w:val="20"/>
        </w:rPr>
        <w:t xml:space="preserve"> or </w:t>
      </w:r>
      <w:r w:rsidRPr="007D4E7F">
        <w:rPr>
          <w:sz w:val="22"/>
          <w:szCs w:val="20"/>
        </w:rPr>
        <w:t>(ii) advised by an adviser registered or exempted from registration under securities legislation or under commodity futures legislation of a jurisdiction of Canada</w:t>
      </w:r>
      <w:r>
        <w:rPr>
          <w:sz w:val="22"/>
          <w:szCs w:val="20"/>
        </w:rPr>
        <w:t xml:space="preserve"> </w:t>
      </w:r>
      <w:r w:rsidRPr="00B746F4">
        <w:rPr>
          <w:sz w:val="22"/>
          <w:szCs w:val="20"/>
        </w:rPr>
        <w:t xml:space="preserve">or </w:t>
      </w:r>
      <w:r>
        <w:rPr>
          <w:sz w:val="22"/>
          <w:szCs w:val="20"/>
        </w:rPr>
        <w:t>(B)</w:t>
      </w:r>
      <w:r w:rsidRPr="00B746F4">
        <w:rPr>
          <w:sz w:val="22"/>
          <w:szCs w:val="20"/>
        </w:rPr>
        <w:t xml:space="preserve">(i) </w:t>
      </w:r>
      <w:r>
        <w:rPr>
          <w:sz w:val="22"/>
          <w:szCs w:val="20"/>
        </w:rPr>
        <w:t>m</w:t>
      </w:r>
      <w:r w:rsidRPr="00B746F4">
        <w:rPr>
          <w:sz w:val="22"/>
          <w:szCs w:val="20"/>
        </w:rPr>
        <w:t>anaged by the equivalent of a registered or authorized investment fund manager under the securities legislation or under the commodities futures legislation of a foreign jurisdiction or (</w:t>
      </w:r>
      <w:r>
        <w:rPr>
          <w:sz w:val="22"/>
          <w:szCs w:val="20"/>
        </w:rPr>
        <w:t>ii</w:t>
      </w:r>
      <w:r w:rsidRPr="00B746F4">
        <w:rPr>
          <w:sz w:val="22"/>
          <w:szCs w:val="20"/>
        </w:rPr>
        <w:t>) advised by the equivalent of a registered or authorized adviser under the securities legislation or under the commodities futures legislation of a foreign jurisdiction;</w:t>
      </w:r>
      <w:r>
        <w:rPr>
          <w:sz w:val="22"/>
          <w:szCs w:val="20"/>
        </w:rPr>
        <w:t xml:space="preserve"> </w:t>
      </w:r>
    </w:p>
    <w:p w14:paraId="39701596" w14:textId="77777777" w:rsidR="00FE6C6E" w:rsidRDefault="00201EFA" w:rsidP="00FE6C6E">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lang w:val="en-CA"/>
        </w:rPr>
        <w:fldChar w:fldCharType="end"/>
      </w:r>
      <w:r>
        <w:rPr>
          <w:bCs/>
          <w:sz w:val="22"/>
          <w:lang w:val="en-CA"/>
        </w:rPr>
        <w:t xml:space="preserve"> </w:t>
      </w:r>
      <w:r>
        <w:rPr>
          <w:sz w:val="22"/>
          <w:szCs w:val="20"/>
        </w:rPr>
        <w:t xml:space="preserve">(m) a person or company, other than an individual, that has net assets of at least C$25,000,000 as shown on its most recently prepared financial </w:t>
      </w:r>
      <w:proofErr w:type="gramStart"/>
      <w:r>
        <w:rPr>
          <w:sz w:val="22"/>
          <w:szCs w:val="20"/>
        </w:rPr>
        <w:t>statements;</w:t>
      </w:r>
      <w:proofErr w:type="gramEnd"/>
    </w:p>
    <w:p w14:paraId="1BF8FE2D" w14:textId="77777777" w:rsidR="00FE6C6E" w:rsidRDefault="00201EFA" w:rsidP="00FE6C6E">
      <w:pPr>
        <w:pStyle w:val="BodyText"/>
        <w:spacing w:before="100" w:beforeAutospacing="1" w:after="100" w:afterAutospacing="1"/>
        <w:ind w:left="1440" w:firstLine="0"/>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lang w:val="en-CA"/>
        </w:rPr>
        <w:fldChar w:fldCharType="end"/>
      </w:r>
      <w:r>
        <w:rPr>
          <w:bCs/>
          <w:sz w:val="22"/>
          <w:lang w:val="en-CA"/>
        </w:rPr>
        <w:t xml:space="preserve"> </w:t>
      </w:r>
      <w:r>
        <w:rPr>
          <w:sz w:val="22"/>
          <w:szCs w:val="20"/>
        </w:rPr>
        <w:t>(q) a qualifying clearing agency.</w:t>
      </w:r>
    </w:p>
    <w:p w14:paraId="3A3BC04A" w14:textId="77777777" w:rsidR="00FE6C6E" w:rsidRPr="00D07ECD" w:rsidRDefault="00201EFA" w:rsidP="00FE6C6E">
      <w:pPr>
        <w:pStyle w:val="ListParagraph"/>
        <w:numPr>
          <w:ilvl w:val="0"/>
          <w:numId w:val="24"/>
        </w:numPr>
        <w:spacing w:line="240" w:lineRule="auto"/>
        <w:ind w:right="187"/>
        <w:jc w:val="both"/>
        <w:rPr>
          <w:b/>
          <w:sz w:val="22"/>
          <w:u w:val="single"/>
          <w:lang w:val="en-CA"/>
        </w:rPr>
      </w:pPr>
      <w:r>
        <w:rPr>
          <w:bCs/>
          <w:sz w:val="22"/>
        </w:rPr>
        <w:lastRenderedPageBreak/>
        <w:t>The full legal name and LEI of the derivatives party</w:t>
      </w:r>
      <w:r>
        <w:rPr>
          <w:sz w:val="22"/>
          <w:szCs w:val="20"/>
        </w:rPr>
        <w:t xml:space="preserve">, referred to in Part I item 4, </w:t>
      </w:r>
      <w:r>
        <w:rPr>
          <w:bCs/>
          <w:sz w:val="22"/>
        </w:rPr>
        <w:t xml:space="preserve">that guarantees or otherwise fully supports the </w:t>
      </w:r>
      <w:r w:rsidRPr="007D4E7F">
        <w:rPr>
          <w:sz w:val="22"/>
          <w:szCs w:val="20"/>
        </w:rPr>
        <w:t xml:space="preserve">obligations under derivatives that </w:t>
      </w:r>
      <w:r>
        <w:rPr>
          <w:sz w:val="22"/>
          <w:szCs w:val="20"/>
        </w:rPr>
        <w:t>the Named Person</w:t>
      </w:r>
      <w:r w:rsidRPr="007D4E7F">
        <w:rPr>
          <w:sz w:val="22"/>
          <w:szCs w:val="20"/>
        </w:rPr>
        <w:t xml:space="preserve"> transacts with </w:t>
      </w:r>
      <w:r>
        <w:rPr>
          <w:sz w:val="22"/>
          <w:szCs w:val="20"/>
        </w:rPr>
        <w:t>the Recipient is:</w:t>
      </w:r>
    </w:p>
    <w:p w14:paraId="214CBCB6" w14:textId="77777777" w:rsidR="00FE6C6E" w:rsidRDefault="00FE6C6E" w:rsidP="00FE6C6E">
      <w:pPr>
        <w:pStyle w:val="ListParagraph"/>
        <w:spacing w:line="240" w:lineRule="auto"/>
        <w:ind w:right="187"/>
        <w:jc w:val="both"/>
        <w:rPr>
          <w:sz w:val="22"/>
          <w:szCs w:val="20"/>
          <w:lang w:val="en-CA"/>
        </w:rPr>
      </w:pPr>
    </w:p>
    <w:p w14:paraId="17F06631" w14:textId="77777777" w:rsidR="00FE6C6E" w:rsidRDefault="00201EFA" w:rsidP="00FE6C6E">
      <w:pPr>
        <w:pStyle w:val="ListParagraph"/>
        <w:spacing w:line="240" w:lineRule="auto"/>
        <w:ind w:right="187"/>
        <w:jc w:val="both"/>
        <w:rPr>
          <w:b/>
          <w:sz w:val="22"/>
          <w:u w:val="single"/>
          <w:lang w:val="en-CA"/>
        </w:rPr>
      </w:pPr>
      <w:r w:rsidRPr="00DE332B">
        <w:rPr>
          <w:bCs/>
          <w:i/>
          <w:iCs/>
          <w:color w:val="0070C0"/>
          <w:sz w:val="22"/>
        </w:rPr>
        <w:t>C</w:t>
      </w:r>
      <w:r>
        <w:rPr>
          <w:bCs/>
          <w:i/>
          <w:iCs/>
          <w:color w:val="0070C0"/>
          <w:sz w:val="22"/>
        </w:rPr>
        <w:t xml:space="preserve">omplete </w:t>
      </w:r>
      <w:proofErr w:type="gramStart"/>
      <w:r>
        <w:rPr>
          <w:bCs/>
          <w:i/>
          <w:iCs/>
          <w:color w:val="0070C0"/>
          <w:sz w:val="22"/>
        </w:rPr>
        <w:t>this Part</w:t>
      </w:r>
      <w:proofErr w:type="gramEnd"/>
      <w:r>
        <w:rPr>
          <w:bCs/>
          <w:i/>
          <w:iCs/>
          <w:color w:val="0070C0"/>
          <w:sz w:val="22"/>
        </w:rPr>
        <w:t xml:space="preserve"> I item 5 if a box in item 4 is checked.</w:t>
      </w:r>
    </w:p>
    <w:p w14:paraId="7C8D11A1" w14:textId="77777777" w:rsidR="00FE6C6E" w:rsidRPr="00DE332B" w:rsidRDefault="00FE6C6E" w:rsidP="00FE6C6E">
      <w:pPr>
        <w:pStyle w:val="ListParagraph"/>
        <w:spacing w:line="240" w:lineRule="auto"/>
        <w:ind w:right="187"/>
        <w:jc w:val="both"/>
        <w:rPr>
          <w:b/>
          <w:sz w:val="22"/>
          <w:u w:val="single"/>
          <w:lang w:val="en-CA"/>
        </w:rPr>
      </w:pPr>
    </w:p>
    <w:p w14:paraId="4AEA57A8" w14:textId="77777777" w:rsidR="00FE6C6E" w:rsidRPr="007D4E7F" w:rsidRDefault="00201EFA" w:rsidP="00FE6C6E">
      <w:pPr>
        <w:pStyle w:val="ListParagraph"/>
        <w:spacing w:line="240" w:lineRule="auto"/>
        <w:ind w:left="1440" w:right="187"/>
        <w:jc w:val="both"/>
        <w:rPr>
          <w:bCs/>
          <w:sz w:val="22"/>
          <w:u w:val="single"/>
          <w:lang w:val="en-CA"/>
        </w:rPr>
      </w:pPr>
      <w:r>
        <w:rPr>
          <w:sz w:val="22"/>
          <w:szCs w:val="20"/>
        </w:rPr>
        <w:t xml:space="preserve"> </w:t>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p>
    <w:p w14:paraId="1B319FC6" w14:textId="77777777" w:rsidR="00FE6C6E" w:rsidRPr="007D4E7F" w:rsidRDefault="00FE6C6E" w:rsidP="00FE6C6E">
      <w:pPr>
        <w:pStyle w:val="ListParagraph"/>
        <w:spacing w:line="240" w:lineRule="auto"/>
        <w:ind w:left="1440" w:right="187"/>
        <w:jc w:val="both"/>
        <w:rPr>
          <w:bCs/>
          <w:sz w:val="22"/>
          <w:u w:val="single"/>
          <w:lang w:val="en-CA"/>
        </w:rPr>
      </w:pPr>
    </w:p>
    <w:p w14:paraId="59CB3D4E" w14:textId="77777777" w:rsidR="00FE6C6E" w:rsidRPr="007D4E7F" w:rsidRDefault="00201EFA" w:rsidP="00FE6C6E">
      <w:pPr>
        <w:pStyle w:val="ListParagraph"/>
        <w:spacing w:line="240" w:lineRule="auto"/>
        <w:ind w:left="1440" w:right="187"/>
        <w:jc w:val="both"/>
        <w:rPr>
          <w:bCs/>
          <w:sz w:val="22"/>
          <w:lang w:val="en-CA"/>
        </w:rPr>
      </w:pP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p>
    <w:p w14:paraId="64FBB306" w14:textId="77777777" w:rsidR="00FE6C6E" w:rsidRDefault="00FE6C6E" w:rsidP="00FE6C6E">
      <w:pPr>
        <w:pStyle w:val="ListParagraph"/>
        <w:spacing w:before="240" w:line="240" w:lineRule="auto"/>
        <w:ind w:right="187"/>
        <w:jc w:val="both"/>
        <w:rPr>
          <w:b/>
          <w:sz w:val="22"/>
          <w:u w:val="single"/>
          <w:lang w:val="en-CA"/>
        </w:rPr>
      </w:pPr>
    </w:p>
    <w:p w14:paraId="270FD748" w14:textId="77777777" w:rsidR="00FE6C6E" w:rsidRPr="00DE332B" w:rsidRDefault="00FE6C6E" w:rsidP="00FE6C6E">
      <w:pPr>
        <w:spacing w:line="240" w:lineRule="auto"/>
        <w:ind w:left="360" w:right="187"/>
        <w:jc w:val="both"/>
        <w:rPr>
          <w:bCs/>
          <w:i/>
          <w:iCs/>
          <w:color w:val="0070C0"/>
          <w:sz w:val="22"/>
          <w:lang w:val="en-CA"/>
        </w:rPr>
      </w:pPr>
    </w:p>
    <w:p w14:paraId="25C2A06D" w14:textId="77777777" w:rsidR="00FE6C6E" w:rsidRDefault="00201EFA" w:rsidP="00FE6C6E">
      <w:pPr>
        <w:pStyle w:val="ListParagraph"/>
        <w:spacing w:line="240" w:lineRule="auto"/>
        <w:ind w:left="0" w:right="187"/>
        <w:jc w:val="both"/>
        <w:rPr>
          <w:b/>
          <w:sz w:val="22"/>
          <w:u w:val="single"/>
        </w:rPr>
      </w:pPr>
      <w:r>
        <w:rPr>
          <w:sz w:val="22"/>
        </w:rPr>
        <w:br w:type="page"/>
      </w:r>
      <w:r w:rsidRPr="007D4E7F">
        <w:rPr>
          <w:b/>
          <w:sz w:val="22"/>
          <w:u w:val="single"/>
        </w:rPr>
        <w:lastRenderedPageBreak/>
        <w:t>PART II: ELIGIBLE DERIVATIVES PARTY WAIVER (INDIVIDUALS (EDP) AND ELIGIBLE COMMERCIAL HEDGERS)</w:t>
      </w:r>
    </w:p>
    <w:p w14:paraId="36914313" w14:textId="6E8834D2" w:rsidR="00FE6C6E" w:rsidRPr="00B92A64" w:rsidRDefault="00201EFA" w:rsidP="00FE6C6E">
      <w:pPr>
        <w:shd w:val="clear" w:color="auto" w:fill="D9D9D9" w:themeFill="background1" w:themeFillShade="D9"/>
        <w:spacing w:line="240" w:lineRule="auto"/>
        <w:ind w:right="187"/>
        <w:jc w:val="both"/>
        <w:rPr>
          <w:bCs/>
          <w:sz w:val="22"/>
        </w:rPr>
      </w:pPr>
      <w:r>
        <w:rPr>
          <w:bCs/>
          <w:sz w:val="22"/>
        </w:rPr>
        <w:t xml:space="preserve">Complete Part II </w:t>
      </w:r>
      <w:r w:rsidRPr="00EC7B6A">
        <w:rPr>
          <w:b/>
          <w:sz w:val="22"/>
        </w:rPr>
        <w:t>only</w:t>
      </w:r>
      <w:r>
        <w:rPr>
          <w:bCs/>
          <w:sz w:val="22"/>
        </w:rPr>
        <w:t xml:space="preserve"> if the Named Person is </w:t>
      </w:r>
      <w:r w:rsidRPr="00B92A64">
        <w:rPr>
          <w:bCs/>
          <w:sz w:val="22"/>
        </w:rPr>
        <w:t xml:space="preserve">an individual </w:t>
      </w:r>
      <w:r>
        <w:rPr>
          <w:bCs/>
          <w:sz w:val="22"/>
        </w:rPr>
        <w:t>(EDP) or</w:t>
      </w:r>
      <w:r w:rsidRPr="00B92A64">
        <w:rPr>
          <w:bCs/>
          <w:sz w:val="22"/>
        </w:rPr>
        <w:t xml:space="preserve"> an </w:t>
      </w:r>
      <w:r>
        <w:rPr>
          <w:bCs/>
          <w:sz w:val="22"/>
        </w:rPr>
        <w:t>E</w:t>
      </w:r>
      <w:r w:rsidRPr="00B92A64">
        <w:rPr>
          <w:bCs/>
          <w:sz w:val="22"/>
        </w:rPr>
        <w:t xml:space="preserve">ligible </w:t>
      </w:r>
      <w:r>
        <w:rPr>
          <w:bCs/>
          <w:sz w:val="22"/>
        </w:rPr>
        <w:t>C</w:t>
      </w:r>
      <w:r w:rsidRPr="00B92A64">
        <w:rPr>
          <w:bCs/>
          <w:sz w:val="22"/>
        </w:rPr>
        <w:t xml:space="preserve">ommercial </w:t>
      </w:r>
      <w:r>
        <w:rPr>
          <w:bCs/>
          <w:sz w:val="22"/>
        </w:rPr>
        <w:t>H</w:t>
      </w:r>
      <w:r w:rsidRPr="00B92A64">
        <w:rPr>
          <w:bCs/>
          <w:sz w:val="22"/>
        </w:rPr>
        <w:t>edger</w:t>
      </w:r>
      <w:r>
        <w:rPr>
          <w:bCs/>
          <w:sz w:val="22"/>
        </w:rPr>
        <w:t xml:space="preserve">. In such cases, all protections under the definition of “Additional Requirements” in the Appendix, which are meant to protect </w:t>
      </w:r>
      <w:r w:rsidR="009367F4" w:rsidRPr="009367F4">
        <w:rPr>
          <w:bCs/>
          <w:sz w:val="22"/>
        </w:rPr>
        <w:t>parties considered potentially less sophisticated</w:t>
      </w:r>
      <w:r w:rsidR="009367F4">
        <w:rPr>
          <w:bCs/>
          <w:sz w:val="22"/>
        </w:rPr>
        <w:t>,</w:t>
      </w:r>
      <w:r>
        <w:rPr>
          <w:bCs/>
          <w:sz w:val="22"/>
        </w:rPr>
        <w:t xml:space="preserve"> will apply to the Recipient by default, </w:t>
      </w:r>
      <w:r>
        <w:rPr>
          <w:bCs/>
          <w:i/>
          <w:iCs/>
          <w:sz w:val="22"/>
        </w:rPr>
        <w:t xml:space="preserve">unless </w:t>
      </w:r>
      <w:r>
        <w:rPr>
          <w:bCs/>
          <w:sz w:val="22"/>
        </w:rPr>
        <w:t xml:space="preserve">and </w:t>
      </w:r>
      <w:r>
        <w:rPr>
          <w:bCs/>
          <w:i/>
          <w:iCs/>
          <w:sz w:val="22"/>
        </w:rPr>
        <w:t xml:space="preserve">to the extent </w:t>
      </w:r>
      <w:r>
        <w:rPr>
          <w:bCs/>
          <w:sz w:val="22"/>
        </w:rPr>
        <w:t xml:space="preserve">that the Named Person waives in writing one or more of such protections in this Part II as required </w:t>
      </w:r>
      <w:r w:rsidRPr="00B92A64">
        <w:rPr>
          <w:bCs/>
          <w:sz w:val="22"/>
        </w:rPr>
        <w:t xml:space="preserve">under </w:t>
      </w:r>
      <w:r>
        <w:rPr>
          <w:bCs/>
          <w:sz w:val="22"/>
        </w:rPr>
        <w:t>sub</w:t>
      </w:r>
      <w:r w:rsidRPr="00B92A64">
        <w:rPr>
          <w:bCs/>
          <w:sz w:val="22"/>
        </w:rPr>
        <w:t>paragraph 8(2)(</w:t>
      </w:r>
      <w:r>
        <w:rPr>
          <w:bCs/>
          <w:sz w:val="22"/>
        </w:rPr>
        <w:t>a</w:t>
      </w:r>
      <w:r w:rsidRPr="00B92A64">
        <w:rPr>
          <w:bCs/>
          <w:sz w:val="22"/>
        </w:rPr>
        <w:t>)</w:t>
      </w:r>
      <w:r>
        <w:rPr>
          <w:bCs/>
          <w:sz w:val="22"/>
        </w:rPr>
        <w:t>(iii)</w:t>
      </w:r>
      <w:r w:rsidRPr="00B92A64">
        <w:rPr>
          <w:bCs/>
          <w:sz w:val="22"/>
        </w:rPr>
        <w:t xml:space="preserve"> of the Business Conduct Rule</w:t>
      </w:r>
      <w:r>
        <w:rPr>
          <w:bCs/>
          <w:sz w:val="22"/>
        </w:rPr>
        <w: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20"/>
      </w:tblGrid>
      <w:tr w:rsidR="00531E7C" w14:paraId="5C6FA021" w14:textId="77777777" w:rsidTr="00A60A21">
        <w:tc>
          <w:tcPr>
            <w:tcW w:w="10617" w:type="dxa"/>
          </w:tcPr>
          <w:p w14:paraId="7DC702B2" w14:textId="77777777" w:rsidR="00FE6C6E" w:rsidRPr="007D4E7F" w:rsidRDefault="00FE6C6E" w:rsidP="00A60A21">
            <w:pPr>
              <w:spacing w:after="0"/>
              <w:rPr>
                <w:b/>
                <w:sz w:val="22"/>
                <w:lang w:val="en-US"/>
              </w:rPr>
            </w:pPr>
          </w:p>
          <w:p w14:paraId="56BF5BDA" w14:textId="77777777" w:rsidR="00FE6C6E" w:rsidRPr="007D4E7F" w:rsidRDefault="00201EFA" w:rsidP="00A60A21">
            <w:pPr>
              <w:spacing w:after="0"/>
              <w:jc w:val="both"/>
              <w:rPr>
                <w:b/>
                <w:bCs/>
                <w:sz w:val="22"/>
                <w:lang w:val="en-US"/>
              </w:rPr>
            </w:pPr>
            <w:r w:rsidRPr="007D4E7F">
              <w:rPr>
                <w:b/>
                <w:sz w:val="22"/>
                <w:u w:val="single"/>
                <w:lang w:val="en-US"/>
              </w:rPr>
              <w:t>Explanatory Note</w:t>
            </w:r>
            <w:r w:rsidRPr="007D4E7F">
              <w:rPr>
                <w:b/>
                <w:sz w:val="22"/>
                <w:lang w:val="en-US"/>
              </w:rPr>
              <w:t xml:space="preserve">: </w:t>
            </w:r>
            <w:r w:rsidRPr="007D4E7F">
              <w:rPr>
                <w:sz w:val="22"/>
                <w:lang w:val="en-US"/>
              </w:rPr>
              <w:t>The Business Conduct Rule establishes general obligations owed by derivatives firms to all derivatives parties (</w:t>
            </w:r>
            <w:r w:rsidRPr="007D4E7F">
              <w:rPr>
                <w:b/>
                <w:sz w:val="22"/>
                <w:lang w:val="en-US"/>
              </w:rPr>
              <w:t>Core Requirements</w:t>
            </w:r>
            <w:r w:rsidRPr="007D4E7F">
              <w:rPr>
                <w:sz w:val="22"/>
                <w:lang w:val="en-US"/>
              </w:rPr>
              <w:t xml:space="preserve">) and </w:t>
            </w:r>
            <w:r>
              <w:rPr>
                <w:sz w:val="22"/>
                <w:lang w:val="en-US"/>
              </w:rPr>
              <w:t xml:space="preserve">further establishes additional requirements for derivatives firms and </w:t>
            </w:r>
            <w:r w:rsidRPr="007D4E7F">
              <w:rPr>
                <w:sz w:val="22"/>
                <w:lang w:val="en-US"/>
              </w:rPr>
              <w:t xml:space="preserve">additional </w:t>
            </w:r>
            <w:r>
              <w:rPr>
                <w:sz w:val="22"/>
                <w:lang w:val="en-US"/>
              </w:rPr>
              <w:t xml:space="preserve">protections </w:t>
            </w:r>
            <w:r w:rsidRPr="007D4E7F">
              <w:rPr>
                <w:sz w:val="22"/>
                <w:lang w:val="en-US"/>
              </w:rPr>
              <w:t>for non-eligible derivatives parties, individuals that are an eligible derivatives party (“</w:t>
            </w:r>
            <w:r w:rsidRPr="007D4E7F">
              <w:rPr>
                <w:b/>
                <w:bCs/>
                <w:sz w:val="22"/>
                <w:lang w:val="en-US"/>
              </w:rPr>
              <w:t>individuals (EDP)</w:t>
            </w:r>
            <w:r w:rsidRPr="007D4E7F">
              <w:rPr>
                <w:sz w:val="22"/>
                <w:lang w:val="en-US"/>
              </w:rPr>
              <w:t xml:space="preserve">”) and </w:t>
            </w:r>
            <w:r w:rsidRPr="007D4E7F">
              <w:rPr>
                <w:b/>
                <w:sz w:val="22"/>
                <w:lang w:val="en-US"/>
              </w:rPr>
              <w:t>Eligible Commercial Hedgers</w:t>
            </w:r>
            <w:r w:rsidRPr="007D4E7F">
              <w:rPr>
                <w:sz w:val="22"/>
                <w:lang w:val="en-US"/>
              </w:rPr>
              <w:t xml:space="preserve"> (</w:t>
            </w:r>
            <w:r w:rsidRPr="007D4E7F">
              <w:rPr>
                <w:b/>
                <w:sz w:val="22"/>
                <w:lang w:val="en-US"/>
              </w:rPr>
              <w:t>Additional Requirements</w:t>
            </w:r>
            <w:r w:rsidRPr="007D4E7F">
              <w:rPr>
                <w:sz w:val="22"/>
                <w:lang w:val="en-US"/>
              </w:rPr>
              <w:t>), which can be waived by individuals (EDP) and Eligible Commercial Hedgers.</w:t>
            </w:r>
            <w:r w:rsidRPr="007D4E7F">
              <w:rPr>
                <w:b/>
                <w:sz w:val="22"/>
                <w:lang w:val="en-US"/>
              </w:rPr>
              <w:t xml:space="preserve">  </w:t>
            </w:r>
            <w:r w:rsidRPr="007D4E7F">
              <w:rPr>
                <w:bCs/>
                <w:sz w:val="22"/>
                <w:lang w:val="en-US"/>
              </w:rPr>
              <w:t xml:space="preserve">The waiver must be in writing and specify </w:t>
            </w:r>
            <w:r>
              <w:rPr>
                <w:bCs/>
                <w:sz w:val="22"/>
                <w:lang w:val="en-US"/>
              </w:rPr>
              <w:t xml:space="preserve">the </w:t>
            </w:r>
            <w:r w:rsidRPr="007D4E7F">
              <w:rPr>
                <w:bCs/>
                <w:sz w:val="22"/>
                <w:lang w:val="en-US"/>
              </w:rPr>
              <w:t xml:space="preserve">Additional Requirements </w:t>
            </w:r>
            <w:r>
              <w:rPr>
                <w:bCs/>
                <w:sz w:val="22"/>
                <w:lang w:val="en-US"/>
              </w:rPr>
              <w:t xml:space="preserve">to which </w:t>
            </w:r>
            <w:r w:rsidRPr="007D4E7F">
              <w:rPr>
                <w:bCs/>
                <w:sz w:val="22"/>
                <w:lang w:val="en-US"/>
              </w:rPr>
              <w:t xml:space="preserve">it applies. </w:t>
            </w:r>
            <w:r w:rsidRPr="007D4E7F">
              <w:rPr>
                <w:b/>
                <w:bCs/>
                <w:i/>
                <w:iCs/>
                <w:sz w:val="22"/>
                <w:lang w:val="en-US"/>
              </w:rPr>
              <w:t xml:space="preserve">You are not required to provide a waiver of any or </w:t>
            </w:r>
            <w:proofErr w:type="gramStart"/>
            <w:r w:rsidRPr="007D4E7F">
              <w:rPr>
                <w:b/>
                <w:bCs/>
                <w:i/>
                <w:iCs/>
                <w:sz w:val="22"/>
                <w:lang w:val="en-US"/>
              </w:rPr>
              <w:t>all of</w:t>
            </w:r>
            <w:proofErr w:type="gramEnd"/>
            <w:r w:rsidRPr="007D4E7F">
              <w:rPr>
                <w:b/>
                <w:bCs/>
                <w:i/>
                <w:iCs/>
                <w:sz w:val="22"/>
                <w:lang w:val="en-US"/>
              </w:rPr>
              <w:t xml:space="preserve"> the Additional Requirements and</w:t>
            </w:r>
            <w:r>
              <w:rPr>
                <w:b/>
                <w:bCs/>
                <w:i/>
                <w:iCs/>
                <w:sz w:val="22"/>
                <w:lang w:val="en-US"/>
              </w:rPr>
              <w:t xml:space="preserve"> have the option to</w:t>
            </w:r>
            <w:r w:rsidRPr="007D4E7F">
              <w:rPr>
                <w:b/>
                <w:bCs/>
                <w:i/>
                <w:iCs/>
                <w:sz w:val="22"/>
                <w:lang w:val="en-US"/>
              </w:rPr>
              <w:t xml:space="preserve"> obtain</w:t>
            </w:r>
            <w:r>
              <w:rPr>
                <w:b/>
                <w:bCs/>
                <w:i/>
                <w:iCs/>
                <w:sz w:val="22"/>
                <w:lang w:val="en-US"/>
              </w:rPr>
              <w:t xml:space="preserve"> </w:t>
            </w:r>
            <w:r w:rsidRPr="007D4E7F">
              <w:rPr>
                <w:b/>
                <w:bCs/>
                <w:i/>
                <w:iCs/>
                <w:sz w:val="22"/>
                <w:lang w:val="en-US"/>
              </w:rPr>
              <w:t xml:space="preserve">independent </w:t>
            </w:r>
            <w:r>
              <w:rPr>
                <w:b/>
                <w:bCs/>
                <w:i/>
                <w:iCs/>
                <w:sz w:val="22"/>
                <w:lang w:val="en-US"/>
              </w:rPr>
              <w:t xml:space="preserve">legal </w:t>
            </w:r>
            <w:r w:rsidRPr="007D4E7F">
              <w:rPr>
                <w:b/>
                <w:bCs/>
                <w:i/>
                <w:iCs/>
                <w:sz w:val="22"/>
                <w:lang w:val="en-US"/>
              </w:rPr>
              <w:t>advice before providing any such waiver. At any time, you may withdraw in writing, in whole or in part, any waiver provided to the Recipient.</w:t>
            </w:r>
          </w:p>
          <w:p w14:paraId="06339756" w14:textId="77777777" w:rsidR="00FE6C6E" w:rsidRPr="007D4E7F" w:rsidRDefault="00FE6C6E" w:rsidP="00A60A21">
            <w:pPr>
              <w:spacing w:after="0"/>
              <w:rPr>
                <w:b/>
                <w:sz w:val="22"/>
                <w:lang w:val="en-US"/>
              </w:rPr>
            </w:pPr>
          </w:p>
          <w:p w14:paraId="04416941" w14:textId="77777777" w:rsidR="00FE6C6E" w:rsidRPr="007D4E7F" w:rsidRDefault="00201EFA" w:rsidP="00A60A21">
            <w:pPr>
              <w:spacing w:after="0"/>
              <w:jc w:val="both"/>
              <w:rPr>
                <w:bCs/>
                <w:sz w:val="22"/>
                <w:lang w:val="en-US"/>
              </w:rPr>
            </w:pPr>
            <w:r w:rsidRPr="007D4E7F">
              <w:rPr>
                <w:b/>
                <w:sz w:val="22"/>
                <w:u w:val="single"/>
                <w:lang w:val="en-US"/>
              </w:rPr>
              <w:t>Instructions</w:t>
            </w:r>
            <w:r w:rsidRPr="007D4E7F">
              <w:rPr>
                <w:b/>
                <w:sz w:val="22"/>
                <w:lang w:val="en-US"/>
              </w:rPr>
              <w:t xml:space="preserve">: </w:t>
            </w:r>
            <w:r w:rsidRPr="007D4E7F">
              <w:rPr>
                <w:bCs/>
                <w:sz w:val="22"/>
                <w:lang w:val="en-US"/>
              </w:rPr>
              <w:t xml:space="preserve">Complete </w:t>
            </w:r>
            <w:r>
              <w:rPr>
                <w:bCs/>
                <w:sz w:val="22"/>
                <w:lang w:val="en-US"/>
              </w:rPr>
              <w:t xml:space="preserve">Part II </w:t>
            </w:r>
            <w:r w:rsidRPr="007D4E7F">
              <w:rPr>
                <w:bCs/>
                <w:sz w:val="22"/>
                <w:lang w:val="en-US"/>
              </w:rPr>
              <w:t xml:space="preserve">item 1. By completing this Part II, the Named Person hereby acknowledges that they have had the opportunity to obtain independent </w:t>
            </w:r>
            <w:r>
              <w:rPr>
                <w:bCs/>
                <w:sz w:val="22"/>
                <w:lang w:val="en-US"/>
              </w:rPr>
              <w:t xml:space="preserve">legal </w:t>
            </w:r>
            <w:r w:rsidRPr="007D4E7F">
              <w:rPr>
                <w:bCs/>
                <w:sz w:val="22"/>
                <w:lang w:val="en-US"/>
              </w:rPr>
              <w:t xml:space="preserve">advice before providing the waiver in </w:t>
            </w:r>
            <w:proofErr w:type="gramStart"/>
            <w:r w:rsidRPr="007D4E7F">
              <w:rPr>
                <w:bCs/>
                <w:sz w:val="22"/>
                <w:lang w:val="en-US"/>
              </w:rPr>
              <w:t>this Part</w:t>
            </w:r>
            <w:proofErr w:type="gramEnd"/>
            <w:r w:rsidRPr="007D4E7F">
              <w:rPr>
                <w:bCs/>
                <w:sz w:val="22"/>
                <w:lang w:val="en-US"/>
              </w:rPr>
              <w:t xml:space="preserve"> II.</w:t>
            </w:r>
          </w:p>
        </w:tc>
      </w:tr>
    </w:tbl>
    <w:p w14:paraId="415EF0B3" w14:textId="77777777" w:rsidR="00FE6C6E" w:rsidRPr="007D4E7F" w:rsidRDefault="00FE6C6E" w:rsidP="00FE6C6E">
      <w:pPr>
        <w:spacing w:after="0" w:line="240" w:lineRule="auto"/>
        <w:ind w:right="187"/>
        <w:jc w:val="both"/>
        <w:rPr>
          <w:b/>
          <w:sz w:val="22"/>
          <w:u w:val="single"/>
        </w:rPr>
      </w:pPr>
    </w:p>
    <w:p w14:paraId="7244CD47" w14:textId="77777777" w:rsidR="00FE6C6E" w:rsidRPr="007D4E7F" w:rsidRDefault="00201EFA" w:rsidP="00FE6C6E">
      <w:pPr>
        <w:pStyle w:val="ListParagraph"/>
        <w:numPr>
          <w:ilvl w:val="0"/>
          <w:numId w:val="19"/>
        </w:numPr>
        <w:spacing w:line="240" w:lineRule="auto"/>
        <w:ind w:right="187"/>
        <w:jc w:val="both"/>
        <w:rPr>
          <w:b/>
          <w:sz w:val="22"/>
          <w:u w:val="single"/>
          <w:lang w:val="en-CA"/>
        </w:rPr>
      </w:pPr>
      <w:r w:rsidRPr="007D4E7F">
        <w:rPr>
          <w:bCs/>
          <w:sz w:val="22"/>
        </w:rPr>
        <w:t xml:space="preserve">Waiver: </w:t>
      </w:r>
      <w:r w:rsidRPr="007D4E7F">
        <w:rPr>
          <w:bCs/>
          <w:iCs/>
          <w:sz w:val="22"/>
        </w:rPr>
        <w:t xml:space="preserve">The effective date of this waiver is the </w:t>
      </w:r>
      <w:proofErr w:type="gramStart"/>
      <w:r w:rsidRPr="007D4E7F">
        <w:rPr>
          <w:bCs/>
          <w:iCs/>
          <w:sz w:val="22"/>
        </w:rPr>
        <w:t>later</w:t>
      </w:r>
      <w:proofErr w:type="gramEnd"/>
      <w:r w:rsidRPr="007D4E7F">
        <w:rPr>
          <w:bCs/>
          <w:iCs/>
          <w:sz w:val="22"/>
        </w:rPr>
        <w:t xml:space="preserve"> </w:t>
      </w:r>
      <w:bookmarkStart w:id="9" w:name="_Hlk152832577"/>
      <w:r w:rsidRPr="007D4E7F">
        <w:rPr>
          <w:bCs/>
          <w:iCs/>
          <w:sz w:val="22"/>
        </w:rPr>
        <w:t xml:space="preserve">of (i) September 28, </w:t>
      </w:r>
      <w:proofErr w:type="gramStart"/>
      <w:r w:rsidRPr="007D4E7F">
        <w:rPr>
          <w:bCs/>
          <w:iCs/>
          <w:sz w:val="22"/>
        </w:rPr>
        <w:t>2025</w:t>
      </w:r>
      <w:proofErr w:type="gramEnd"/>
      <w:r w:rsidRPr="007D4E7F">
        <w:rPr>
          <w:bCs/>
          <w:iCs/>
          <w:sz w:val="22"/>
        </w:rPr>
        <w:t xml:space="preserve"> and </w:t>
      </w:r>
      <w:r>
        <w:rPr>
          <w:bCs/>
          <w:iCs/>
          <w:sz w:val="22"/>
        </w:rPr>
        <w:t xml:space="preserve">(ii) </w:t>
      </w:r>
      <w:r w:rsidRPr="007D4E7F">
        <w:rPr>
          <w:bCs/>
          <w:iCs/>
          <w:sz w:val="22"/>
        </w:rPr>
        <w:t>the date of this Letter</w:t>
      </w:r>
      <w:bookmarkEnd w:id="9"/>
      <w:r w:rsidRPr="007D4E7F">
        <w:rPr>
          <w:bCs/>
          <w:iCs/>
          <w:sz w:val="22"/>
        </w:rPr>
        <w:t>.</w:t>
      </w:r>
    </w:p>
    <w:p w14:paraId="54841D38" w14:textId="77777777" w:rsidR="00FE6C6E" w:rsidRDefault="00FE6C6E" w:rsidP="00FE6C6E">
      <w:pPr>
        <w:pStyle w:val="ListParagraph"/>
        <w:spacing w:line="240" w:lineRule="auto"/>
        <w:ind w:right="187"/>
        <w:jc w:val="both"/>
        <w:rPr>
          <w:b/>
          <w:sz w:val="22"/>
          <w:u w:val="single"/>
          <w:lang w:val="en-CA"/>
        </w:rPr>
      </w:pPr>
    </w:p>
    <w:p w14:paraId="6B61D411" w14:textId="77777777" w:rsidR="00FE6C6E" w:rsidRDefault="00201EFA" w:rsidP="00FE6C6E">
      <w:pPr>
        <w:pStyle w:val="ListParagraph"/>
        <w:spacing w:line="240" w:lineRule="auto"/>
        <w:ind w:left="1080" w:right="187"/>
        <w:jc w:val="both"/>
        <w:rPr>
          <w:bCs/>
          <w:i/>
          <w:iCs/>
          <w:color w:val="0070C0"/>
          <w:sz w:val="22"/>
        </w:rPr>
      </w:pPr>
      <w:r>
        <w:rPr>
          <w:bCs/>
          <w:i/>
          <w:iCs/>
          <w:color w:val="0070C0"/>
          <w:sz w:val="22"/>
          <w:lang w:val="en-CA"/>
        </w:rPr>
        <w:t>S</w:t>
      </w:r>
      <w:r w:rsidRPr="0064462E">
        <w:rPr>
          <w:bCs/>
          <w:i/>
          <w:iCs/>
          <w:color w:val="0070C0"/>
          <w:sz w:val="22"/>
        </w:rPr>
        <w:t>elect one of (a) or (b), if applic</w:t>
      </w:r>
      <w:r>
        <w:rPr>
          <w:bCs/>
          <w:i/>
          <w:iCs/>
          <w:color w:val="0070C0"/>
          <w:sz w:val="22"/>
        </w:rPr>
        <w:t>able. If neither (a) nor (b) is selected (</w:t>
      </w:r>
      <w:r w:rsidRPr="00E4409A">
        <w:rPr>
          <w:bCs/>
          <w:i/>
          <w:iCs/>
          <w:color w:val="0070C0"/>
          <w:sz w:val="22"/>
        </w:rPr>
        <w:t>i.e., the Named Person wishes to waive some but not all Additional Requirements</w:t>
      </w:r>
      <w:r>
        <w:rPr>
          <w:bCs/>
          <w:i/>
          <w:iCs/>
          <w:color w:val="0070C0"/>
          <w:sz w:val="22"/>
        </w:rPr>
        <w:t xml:space="preserve">), the Named Person will be contacted by the Recipient and the </w:t>
      </w:r>
      <w:r w:rsidRPr="007D4E7F">
        <w:rPr>
          <w:bCs/>
          <w:i/>
          <w:iCs/>
          <w:color w:val="0070C0"/>
          <w:sz w:val="22"/>
        </w:rPr>
        <w:t>Recipient may provide the Named Person with a supplement to this Letter (a “</w:t>
      </w:r>
      <w:r w:rsidRPr="007D4E7F">
        <w:rPr>
          <w:b/>
          <w:i/>
          <w:iCs/>
          <w:color w:val="0070C0"/>
          <w:sz w:val="22"/>
        </w:rPr>
        <w:t>Supplement</w:t>
      </w:r>
      <w:r w:rsidRPr="007D4E7F">
        <w:rPr>
          <w:bCs/>
          <w:i/>
          <w:iCs/>
          <w:color w:val="0070C0"/>
          <w:sz w:val="22"/>
        </w:rPr>
        <w:t xml:space="preserve">”) for completion, which the Named Person may use to select the </w:t>
      </w:r>
      <w:r w:rsidRPr="007D4E7F">
        <w:rPr>
          <w:b/>
          <w:i/>
          <w:iCs/>
          <w:color w:val="0070C0"/>
          <w:sz w:val="22"/>
        </w:rPr>
        <w:t>Additional Requirements</w:t>
      </w:r>
      <w:r w:rsidRPr="007D4E7F">
        <w:rPr>
          <w:bCs/>
          <w:i/>
          <w:iCs/>
          <w:color w:val="0070C0"/>
          <w:sz w:val="22"/>
        </w:rPr>
        <w:t xml:space="preserve"> it elects to waive and the derivative</w:t>
      </w:r>
      <w:r>
        <w:rPr>
          <w:bCs/>
          <w:i/>
          <w:iCs/>
          <w:color w:val="0070C0"/>
          <w:sz w:val="22"/>
        </w:rPr>
        <w:t>s</w:t>
      </w:r>
      <w:r w:rsidRPr="007D4E7F">
        <w:rPr>
          <w:bCs/>
          <w:i/>
          <w:iCs/>
          <w:color w:val="0070C0"/>
          <w:sz w:val="22"/>
        </w:rPr>
        <w:t xml:space="preserve"> classes </w:t>
      </w:r>
      <w:r>
        <w:rPr>
          <w:bCs/>
          <w:i/>
          <w:iCs/>
          <w:color w:val="0070C0"/>
          <w:sz w:val="22"/>
        </w:rPr>
        <w:t xml:space="preserve">to which </w:t>
      </w:r>
      <w:r w:rsidRPr="007D4E7F">
        <w:rPr>
          <w:bCs/>
          <w:i/>
          <w:iCs/>
          <w:color w:val="0070C0"/>
          <w:sz w:val="22"/>
        </w:rPr>
        <w:t>such waivers apply.</w:t>
      </w:r>
    </w:p>
    <w:p w14:paraId="23119181" w14:textId="77777777" w:rsidR="00FE6C6E" w:rsidRPr="007D4E7F" w:rsidRDefault="00FE6C6E" w:rsidP="00FE6C6E">
      <w:pPr>
        <w:pStyle w:val="ListParagraph"/>
        <w:spacing w:line="240" w:lineRule="auto"/>
        <w:ind w:left="1080" w:right="187"/>
        <w:jc w:val="both"/>
        <w:rPr>
          <w:b/>
          <w:sz w:val="22"/>
          <w:u w:val="single"/>
          <w:lang w:val="en-CA"/>
        </w:rPr>
      </w:pPr>
    </w:p>
    <w:p w14:paraId="7407C91E" w14:textId="77777777" w:rsidR="00FE6C6E" w:rsidRPr="007D4E7F" w:rsidRDefault="00201EFA" w:rsidP="00FE6C6E">
      <w:pPr>
        <w:pStyle w:val="ListParagraph"/>
        <w:numPr>
          <w:ilvl w:val="1"/>
          <w:numId w:val="19"/>
        </w:numPr>
        <w:spacing w:line="240" w:lineRule="auto"/>
        <w:ind w:right="187"/>
        <w:jc w:val="both"/>
        <w:rPr>
          <w:b/>
          <w:sz w:val="22"/>
          <w:u w:val="single"/>
          <w:lang w:val="en-CA"/>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rPr>
        <w:t xml:space="preserve"> </w:t>
      </w:r>
      <w:r w:rsidRPr="007D4E7F">
        <w:rPr>
          <w:bCs/>
          <w:sz w:val="22"/>
          <w:lang w:val="en-CA"/>
        </w:rPr>
        <w:t xml:space="preserve">The Named Person hereby waives </w:t>
      </w:r>
      <w:r w:rsidRPr="007D4E7F">
        <w:rPr>
          <w:bCs/>
          <w:sz w:val="22"/>
          <w:u w:val="single"/>
          <w:lang w:val="en-CA"/>
        </w:rPr>
        <w:t>all</w:t>
      </w:r>
      <w:r w:rsidRPr="007D4E7F">
        <w:rPr>
          <w:bCs/>
          <w:sz w:val="22"/>
          <w:lang w:val="en-CA"/>
        </w:rPr>
        <w:t xml:space="preserve"> </w:t>
      </w:r>
      <w:r w:rsidRPr="007D4E7F">
        <w:rPr>
          <w:b/>
          <w:sz w:val="22"/>
          <w:lang w:val="en-CA"/>
        </w:rPr>
        <w:t>Additional Requirements</w:t>
      </w:r>
      <w:r w:rsidRPr="007D4E7F">
        <w:rPr>
          <w:bCs/>
          <w:sz w:val="22"/>
          <w:lang w:val="en-CA"/>
        </w:rPr>
        <w:t xml:space="preserve"> in the Business Conduct Rule for </w:t>
      </w:r>
      <w:r w:rsidRPr="007D4E7F">
        <w:rPr>
          <w:bCs/>
          <w:sz w:val="22"/>
          <w:u w:val="single"/>
          <w:lang w:val="en-CA"/>
        </w:rPr>
        <w:t>all derivatives</w:t>
      </w:r>
      <w:r w:rsidRPr="007D4E7F">
        <w:rPr>
          <w:bCs/>
          <w:sz w:val="22"/>
          <w:lang w:val="en-CA"/>
        </w:rPr>
        <w:t xml:space="preserve">. </w:t>
      </w:r>
    </w:p>
    <w:p w14:paraId="69BB7A22" w14:textId="77777777" w:rsidR="00FE6C6E" w:rsidRPr="007D4E7F" w:rsidRDefault="00201EFA" w:rsidP="00FE6C6E">
      <w:pPr>
        <w:pStyle w:val="ListParagraph"/>
        <w:numPr>
          <w:ilvl w:val="1"/>
          <w:numId w:val="19"/>
        </w:numPr>
        <w:spacing w:line="240" w:lineRule="auto"/>
        <w:ind w:right="187"/>
        <w:jc w:val="both"/>
        <w:rPr>
          <w:bCs/>
          <w:sz w:val="22"/>
          <w:lang w:val="en-CA"/>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rPr>
        <w:t xml:space="preserve"> </w:t>
      </w:r>
      <w:r w:rsidRPr="007D4E7F">
        <w:rPr>
          <w:bCs/>
          <w:sz w:val="22"/>
          <w:lang w:val="en-CA"/>
        </w:rPr>
        <w:t xml:space="preserve">The Named Person does </w:t>
      </w:r>
      <w:r w:rsidRPr="007D4E7F">
        <w:rPr>
          <w:bCs/>
          <w:sz w:val="22"/>
          <w:u w:val="single"/>
          <w:lang w:val="en-CA"/>
        </w:rPr>
        <w:t>not</w:t>
      </w:r>
      <w:r w:rsidRPr="007D4E7F">
        <w:rPr>
          <w:bCs/>
          <w:sz w:val="22"/>
          <w:lang w:val="en-CA"/>
        </w:rPr>
        <w:t xml:space="preserve"> waive any </w:t>
      </w:r>
      <w:r w:rsidRPr="007D4E7F">
        <w:rPr>
          <w:b/>
          <w:bCs/>
          <w:sz w:val="22"/>
          <w:lang w:val="en-CA"/>
        </w:rPr>
        <w:t>Additional Requirements</w:t>
      </w:r>
      <w:r w:rsidRPr="007D4E7F">
        <w:rPr>
          <w:bCs/>
          <w:sz w:val="22"/>
          <w:lang w:val="en-CA"/>
        </w:rPr>
        <w:t xml:space="preserve"> in the Business Conduct Rule for </w:t>
      </w:r>
      <w:r w:rsidRPr="007D4E7F">
        <w:rPr>
          <w:bCs/>
          <w:sz w:val="22"/>
          <w:u w:val="single"/>
          <w:lang w:val="en-CA"/>
        </w:rPr>
        <w:t>any derivatives</w:t>
      </w:r>
      <w:r w:rsidRPr="007D4E7F">
        <w:rPr>
          <w:bCs/>
          <w:sz w:val="22"/>
          <w:lang w:val="en-CA"/>
        </w:rPr>
        <w:t xml:space="preserve">. </w:t>
      </w:r>
    </w:p>
    <w:p w14:paraId="58495C77" w14:textId="77777777" w:rsidR="00FE6C6E" w:rsidRPr="007D4E7F" w:rsidRDefault="00201EFA" w:rsidP="00FE6C6E">
      <w:pPr>
        <w:spacing w:line="240" w:lineRule="auto"/>
        <w:ind w:left="720" w:right="187" w:firstLine="360"/>
        <w:jc w:val="both"/>
        <w:rPr>
          <w:b/>
          <w:sz w:val="22"/>
        </w:rPr>
      </w:pPr>
      <w:r w:rsidRPr="007D4E7F">
        <w:rPr>
          <w:bCs/>
          <w:sz w:val="22"/>
        </w:rPr>
        <w:t xml:space="preserve">The </w:t>
      </w:r>
      <w:r w:rsidRPr="007D4E7F">
        <w:rPr>
          <w:b/>
          <w:sz w:val="22"/>
        </w:rPr>
        <w:t xml:space="preserve">Additional Requirements </w:t>
      </w:r>
      <w:r w:rsidRPr="007D4E7F">
        <w:rPr>
          <w:bCs/>
          <w:sz w:val="22"/>
        </w:rPr>
        <w:t xml:space="preserve">are set out in the </w:t>
      </w:r>
      <w:r w:rsidRPr="007D4E7F">
        <w:rPr>
          <w:bCs/>
          <w:sz w:val="22"/>
          <w:szCs w:val="20"/>
        </w:rPr>
        <w:t>following sections of the Business Conduct Rule</w:t>
      </w:r>
      <w:r w:rsidRPr="007D4E7F">
        <w:rPr>
          <w:bCs/>
          <w:sz w:val="22"/>
        </w:rPr>
        <w:t>:</w:t>
      </w:r>
      <w:r w:rsidRPr="007D4E7F">
        <w:rPr>
          <w:b/>
          <w:sz w:val="22"/>
        </w:rPr>
        <w:t xml:space="preserve">  </w:t>
      </w:r>
    </w:p>
    <w:p w14:paraId="116D3393" w14:textId="77777777" w:rsidR="00FE6C6E" w:rsidRPr="007D4E7F" w:rsidRDefault="00201EFA" w:rsidP="00FE6C6E">
      <w:pPr>
        <w:spacing w:after="0" w:line="240" w:lineRule="auto"/>
        <w:ind w:left="1440" w:right="187"/>
        <w:jc w:val="both"/>
        <w:rPr>
          <w:bCs/>
          <w:sz w:val="22"/>
        </w:rPr>
      </w:pPr>
      <w:r w:rsidRPr="007D4E7F">
        <w:rPr>
          <w:bCs/>
          <w:sz w:val="22"/>
        </w:rPr>
        <w:t>Section 14 [</w:t>
      </w:r>
      <w:r w:rsidRPr="007D4E7F">
        <w:rPr>
          <w:bCs/>
          <w:i/>
          <w:iCs/>
          <w:sz w:val="22"/>
        </w:rPr>
        <w:t>Derivatives-party-specific needs and objectives</w:t>
      </w:r>
      <w:r w:rsidRPr="007D4E7F">
        <w:rPr>
          <w:bCs/>
          <w:sz w:val="22"/>
        </w:rPr>
        <w:t>]</w:t>
      </w:r>
    </w:p>
    <w:p w14:paraId="256048EC" w14:textId="77777777" w:rsidR="00FE6C6E" w:rsidRPr="007D4E7F" w:rsidRDefault="00201EFA" w:rsidP="00FE6C6E">
      <w:pPr>
        <w:spacing w:after="0" w:line="240" w:lineRule="auto"/>
        <w:ind w:left="1440" w:right="187"/>
        <w:jc w:val="both"/>
        <w:rPr>
          <w:bCs/>
          <w:sz w:val="22"/>
        </w:rPr>
      </w:pPr>
      <w:r w:rsidRPr="007D4E7F">
        <w:rPr>
          <w:bCs/>
          <w:sz w:val="22"/>
        </w:rPr>
        <w:t>Section 15 [</w:t>
      </w:r>
      <w:r w:rsidRPr="007D4E7F">
        <w:rPr>
          <w:bCs/>
          <w:i/>
          <w:iCs/>
          <w:sz w:val="22"/>
        </w:rPr>
        <w:t>Suitability</w:t>
      </w:r>
      <w:r w:rsidRPr="007D4E7F">
        <w:rPr>
          <w:bCs/>
          <w:sz w:val="22"/>
        </w:rPr>
        <w:t>]</w:t>
      </w:r>
    </w:p>
    <w:p w14:paraId="79DA5A40" w14:textId="77777777" w:rsidR="00FE6C6E" w:rsidRPr="007D4E7F" w:rsidRDefault="00201EFA" w:rsidP="00FE6C6E">
      <w:pPr>
        <w:spacing w:after="0" w:line="240" w:lineRule="auto"/>
        <w:ind w:left="1440" w:right="187"/>
        <w:jc w:val="both"/>
        <w:rPr>
          <w:bCs/>
          <w:sz w:val="22"/>
        </w:rPr>
      </w:pPr>
      <w:r w:rsidRPr="007D4E7F">
        <w:rPr>
          <w:bCs/>
          <w:sz w:val="22"/>
        </w:rPr>
        <w:t>Section 16 [</w:t>
      </w:r>
      <w:r w:rsidRPr="007D4E7F">
        <w:rPr>
          <w:bCs/>
          <w:i/>
          <w:iCs/>
          <w:sz w:val="22"/>
        </w:rPr>
        <w:t>Permitted referral arrangements</w:t>
      </w:r>
      <w:r w:rsidRPr="007D4E7F">
        <w:rPr>
          <w:bCs/>
          <w:sz w:val="22"/>
        </w:rPr>
        <w:t>]</w:t>
      </w:r>
    </w:p>
    <w:p w14:paraId="48C54542" w14:textId="77777777" w:rsidR="00FE6C6E" w:rsidRPr="007D4E7F" w:rsidRDefault="00201EFA" w:rsidP="00FE6C6E">
      <w:pPr>
        <w:spacing w:after="0" w:line="240" w:lineRule="auto"/>
        <w:ind w:left="1440" w:right="187"/>
        <w:jc w:val="both"/>
        <w:rPr>
          <w:bCs/>
          <w:sz w:val="22"/>
        </w:rPr>
      </w:pPr>
      <w:r w:rsidRPr="007D4E7F">
        <w:rPr>
          <w:bCs/>
          <w:sz w:val="22"/>
        </w:rPr>
        <w:t>Section 17 [</w:t>
      </w:r>
      <w:r w:rsidRPr="007D4E7F">
        <w:rPr>
          <w:bCs/>
          <w:i/>
          <w:iCs/>
          <w:sz w:val="22"/>
        </w:rPr>
        <w:t>Verifying the qualifications of the person or company receiving the referral</w:t>
      </w:r>
      <w:r w:rsidRPr="007D4E7F">
        <w:rPr>
          <w:bCs/>
          <w:sz w:val="22"/>
        </w:rPr>
        <w:t>]</w:t>
      </w:r>
    </w:p>
    <w:p w14:paraId="52FEC021" w14:textId="77777777" w:rsidR="00FE6C6E" w:rsidRPr="007D4E7F" w:rsidRDefault="00201EFA" w:rsidP="00FE6C6E">
      <w:pPr>
        <w:spacing w:after="0" w:line="240" w:lineRule="auto"/>
        <w:ind w:left="1440" w:right="187"/>
        <w:jc w:val="both"/>
        <w:rPr>
          <w:bCs/>
          <w:sz w:val="22"/>
        </w:rPr>
      </w:pPr>
      <w:r w:rsidRPr="007D4E7F">
        <w:rPr>
          <w:bCs/>
          <w:sz w:val="22"/>
        </w:rPr>
        <w:t>Section 18 [</w:t>
      </w:r>
      <w:r w:rsidRPr="00650D45">
        <w:rPr>
          <w:bCs/>
          <w:i/>
          <w:sz w:val="22"/>
        </w:rPr>
        <w:t>Disclosing referral arrangements to a derivatives party</w:t>
      </w:r>
      <w:r w:rsidRPr="007D4E7F">
        <w:rPr>
          <w:bCs/>
          <w:sz w:val="22"/>
        </w:rPr>
        <w:t>]</w:t>
      </w:r>
      <w:r>
        <w:rPr>
          <w:bCs/>
          <w:sz w:val="22"/>
        </w:rPr>
        <w:t xml:space="preserve">  </w:t>
      </w:r>
    </w:p>
    <w:p w14:paraId="121D92F3" w14:textId="77777777" w:rsidR="00FE6C6E" w:rsidRPr="007D4E7F" w:rsidRDefault="00201EFA" w:rsidP="00FE6C6E">
      <w:pPr>
        <w:spacing w:after="0" w:line="240" w:lineRule="auto"/>
        <w:ind w:left="1440" w:right="187"/>
        <w:jc w:val="both"/>
        <w:rPr>
          <w:bCs/>
          <w:sz w:val="22"/>
        </w:rPr>
      </w:pPr>
      <w:r w:rsidRPr="007D4E7F">
        <w:rPr>
          <w:bCs/>
          <w:sz w:val="22"/>
        </w:rPr>
        <w:t>Section 19 [</w:t>
      </w:r>
      <w:r w:rsidRPr="007D4E7F">
        <w:rPr>
          <w:bCs/>
          <w:i/>
          <w:iCs/>
          <w:sz w:val="22"/>
        </w:rPr>
        <w:t>Relationship disclosure information</w:t>
      </w:r>
      <w:r w:rsidRPr="007D4E7F">
        <w:rPr>
          <w:bCs/>
          <w:sz w:val="22"/>
        </w:rPr>
        <w:t>]</w:t>
      </w:r>
    </w:p>
    <w:p w14:paraId="139B2968" w14:textId="77777777" w:rsidR="00FE6C6E" w:rsidRPr="007D4E7F" w:rsidRDefault="00201EFA" w:rsidP="00FE6C6E">
      <w:pPr>
        <w:spacing w:after="0" w:line="240" w:lineRule="auto"/>
        <w:ind w:left="1440" w:right="187"/>
        <w:jc w:val="both"/>
        <w:rPr>
          <w:bCs/>
          <w:sz w:val="22"/>
        </w:rPr>
      </w:pPr>
      <w:r w:rsidRPr="007D4E7F">
        <w:rPr>
          <w:bCs/>
          <w:sz w:val="22"/>
        </w:rPr>
        <w:t>Section 20 [</w:t>
      </w:r>
      <w:r w:rsidRPr="007D4E7F">
        <w:rPr>
          <w:bCs/>
          <w:i/>
          <w:iCs/>
          <w:sz w:val="22"/>
        </w:rPr>
        <w:t>Pre-transaction disclosure</w:t>
      </w:r>
      <w:r w:rsidRPr="007D4E7F">
        <w:rPr>
          <w:bCs/>
          <w:sz w:val="22"/>
        </w:rPr>
        <w:t>]</w:t>
      </w:r>
    </w:p>
    <w:p w14:paraId="429025F1" w14:textId="77777777" w:rsidR="00FE6C6E" w:rsidRDefault="00201EFA" w:rsidP="00FE6C6E">
      <w:pPr>
        <w:spacing w:after="0" w:line="240" w:lineRule="auto"/>
        <w:ind w:left="1440" w:right="187"/>
        <w:jc w:val="both"/>
        <w:rPr>
          <w:bCs/>
          <w:sz w:val="22"/>
        </w:rPr>
      </w:pPr>
      <w:r w:rsidRPr="007D4E7F">
        <w:rPr>
          <w:bCs/>
          <w:sz w:val="22"/>
        </w:rPr>
        <w:t>Section 21 [</w:t>
      </w:r>
      <w:r w:rsidRPr="007D4E7F">
        <w:rPr>
          <w:bCs/>
          <w:i/>
          <w:iCs/>
          <w:sz w:val="22"/>
        </w:rPr>
        <w:t>Valuation reporting</w:t>
      </w:r>
      <w:r w:rsidRPr="007D4E7F">
        <w:rPr>
          <w:bCs/>
          <w:sz w:val="22"/>
        </w:rPr>
        <w:t>]</w:t>
      </w:r>
    </w:p>
    <w:p w14:paraId="2F0C5A01" w14:textId="77777777" w:rsidR="00FE6C6E" w:rsidRPr="00085266" w:rsidRDefault="00201EFA" w:rsidP="00FE6C6E">
      <w:pPr>
        <w:spacing w:after="0" w:line="240" w:lineRule="auto"/>
        <w:ind w:left="1440" w:right="187"/>
        <w:jc w:val="both"/>
        <w:rPr>
          <w:bCs/>
          <w:sz w:val="22"/>
        </w:rPr>
      </w:pPr>
      <w:r w:rsidRPr="00085266">
        <w:rPr>
          <w:bCs/>
          <w:sz w:val="22"/>
        </w:rPr>
        <w:t>Section 26 [</w:t>
      </w:r>
      <w:r w:rsidRPr="00DE332B">
        <w:rPr>
          <w:bCs/>
          <w:i/>
          <w:iCs/>
          <w:sz w:val="22"/>
        </w:rPr>
        <w:t>Holding initial margin</w:t>
      </w:r>
      <w:r w:rsidRPr="00085266">
        <w:rPr>
          <w:bCs/>
          <w:sz w:val="22"/>
        </w:rPr>
        <w:t>]</w:t>
      </w:r>
    </w:p>
    <w:p w14:paraId="07E5AED6" w14:textId="77777777" w:rsidR="00FE6C6E" w:rsidRDefault="00201EFA" w:rsidP="00FE6C6E">
      <w:pPr>
        <w:spacing w:after="0" w:line="240" w:lineRule="auto"/>
        <w:ind w:left="1440" w:right="187"/>
        <w:jc w:val="both"/>
        <w:rPr>
          <w:bCs/>
          <w:sz w:val="22"/>
        </w:rPr>
      </w:pPr>
      <w:r w:rsidRPr="00085266">
        <w:rPr>
          <w:bCs/>
          <w:sz w:val="22"/>
        </w:rPr>
        <w:t>Section 27 [</w:t>
      </w:r>
      <w:r w:rsidRPr="00DE332B">
        <w:rPr>
          <w:bCs/>
          <w:i/>
          <w:iCs/>
          <w:sz w:val="22"/>
        </w:rPr>
        <w:t>Investment or use of initial margin</w:t>
      </w:r>
      <w:r w:rsidRPr="00085266">
        <w:rPr>
          <w:bCs/>
          <w:sz w:val="22"/>
        </w:rPr>
        <w:t>]</w:t>
      </w:r>
    </w:p>
    <w:p w14:paraId="1170EC63" w14:textId="77777777" w:rsidR="00FE6C6E" w:rsidRPr="007D4E7F" w:rsidRDefault="00201EFA" w:rsidP="00FE6C6E">
      <w:pPr>
        <w:spacing w:after="0" w:line="240" w:lineRule="auto"/>
        <w:ind w:left="1440" w:right="187"/>
        <w:jc w:val="both"/>
        <w:rPr>
          <w:bCs/>
          <w:sz w:val="22"/>
        </w:rPr>
      </w:pPr>
      <w:r w:rsidRPr="007D4E7F">
        <w:rPr>
          <w:bCs/>
          <w:sz w:val="22"/>
        </w:rPr>
        <w:t>Section 29 [</w:t>
      </w:r>
      <w:r w:rsidRPr="007D4E7F">
        <w:rPr>
          <w:bCs/>
          <w:i/>
          <w:iCs/>
          <w:sz w:val="22"/>
        </w:rPr>
        <w:t>Derivatives party statements</w:t>
      </w:r>
      <w:r w:rsidRPr="007D4E7F">
        <w:rPr>
          <w:bCs/>
          <w:sz w:val="22"/>
        </w:rPr>
        <w:t>]</w:t>
      </w:r>
    </w:p>
    <w:p w14:paraId="34293EA0" w14:textId="77777777" w:rsidR="00FE6C6E" w:rsidRPr="007D4E7F" w:rsidRDefault="00201EFA" w:rsidP="00FE6C6E">
      <w:pPr>
        <w:spacing w:after="0" w:line="240" w:lineRule="auto"/>
        <w:rPr>
          <w:b/>
          <w:sz w:val="22"/>
          <w:u w:val="single"/>
        </w:rPr>
      </w:pPr>
      <w:r w:rsidRPr="007D4E7F">
        <w:rPr>
          <w:b/>
          <w:sz w:val="22"/>
          <w:u w:val="single"/>
        </w:rPr>
        <w:br w:type="page"/>
      </w:r>
    </w:p>
    <w:p w14:paraId="2D543D7E" w14:textId="77777777" w:rsidR="00FE6C6E" w:rsidRDefault="00201EFA" w:rsidP="00FE6C6E">
      <w:pPr>
        <w:spacing w:line="240" w:lineRule="auto"/>
        <w:ind w:right="187"/>
        <w:jc w:val="both"/>
        <w:rPr>
          <w:b/>
          <w:sz w:val="22"/>
          <w:u w:val="single"/>
        </w:rPr>
      </w:pPr>
      <w:r w:rsidRPr="007D4E7F">
        <w:rPr>
          <w:b/>
          <w:sz w:val="22"/>
          <w:u w:val="single"/>
        </w:rPr>
        <w:lastRenderedPageBreak/>
        <w:t>PART III: ADDITIONAL DOCUMENTATION</w:t>
      </w:r>
    </w:p>
    <w:p w14:paraId="13C7DB8D" w14:textId="71F4A4C2" w:rsidR="00FE6C6E" w:rsidRPr="0068476A" w:rsidRDefault="00201EFA" w:rsidP="00FE6C6E">
      <w:pPr>
        <w:shd w:val="clear" w:color="auto" w:fill="D9D9D9" w:themeFill="background1" w:themeFillShade="D9"/>
        <w:spacing w:line="240" w:lineRule="auto"/>
        <w:ind w:right="187"/>
        <w:jc w:val="both"/>
        <w:rPr>
          <w:sz w:val="22"/>
          <w:szCs w:val="20"/>
        </w:rPr>
      </w:pPr>
      <w:r>
        <w:rPr>
          <w:sz w:val="22"/>
          <w:szCs w:val="20"/>
        </w:rPr>
        <w:t xml:space="preserve">Complete Part III </w:t>
      </w:r>
      <w:r w:rsidRPr="008F0ADE">
        <w:rPr>
          <w:b/>
          <w:bCs/>
          <w:sz w:val="22"/>
          <w:szCs w:val="20"/>
        </w:rPr>
        <w:t xml:space="preserve">only </w:t>
      </w:r>
      <w:r>
        <w:rPr>
          <w:sz w:val="22"/>
          <w:szCs w:val="20"/>
        </w:rPr>
        <w:t xml:space="preserve">if the Named Person is both an individual and an “eligible commercial hedger.” Individuals with net assets greater than $5,000,000 do </w:t>
      </w:r>
      <w:r w:rsidRPr="00A932D6">
        <w:rPr>
          <w:b/>
          <w:bCs/>
          <w:sz w:val="22"/>
          <w:szCs w:val="20"/>
        </w:rPr>
        <w:t>not</w:t>
      </w:r>
      <w:r>
        <w:rPr>
          <w:sz w:val="22"/>
          <w:szCs w:val="20"/>
        </w:rPr>
        <w:t xml:space="preserve"> need to complete </w:t>
      </w:r>
      <w:proofErr w:type="gramStart"/>
      <w:r>
        <w:rPr>
          <w:sz w:val="22"/>
          <w:szCs w:val="20"/>
        </w:rPr>
        <w:t>this</w:t>
      </w:r>
      <w:proofErr w:type="gramEnd"/>
      <w:r>
        <w:rPr>
          <w:sz w:val="22"/>
          <w:szCs w:val="20"/>
        </w:rPr>
        <w:t xml:space="preserve"> Part III. This information is intended to assist the Recipient in identifying</w:t>
      </w:r>
      <w:r w:rsidRPr="0068476A">
        <w:rPr>
          <w:sz w:val="22"/>
          <w:szCs w:val="20"/>
        </w:rPr>
        <w:t xml:space="preserve"> and document</w:t>
      </w:r>
      <w:r>
        <w:rPr>
          <w:sz w:val="22"/>
          <w:szCs w:val="20"/>
        </w:rPr>
        <w:t>ing</w:t>
      </w:r>
      <w:r w:rsidRPr="0068476A">
        <w:rPr>
          <w:sz w:val="22"/>
          <w:szCs w:val="20"/>
        </w:rPr>
        <w:t xml:space="preserve"> the nature of the </w:t>
      </w:r>
      <w:r>
        <w:rPr>
          <w:sz w:val="22"/>
          <w:szCs w:val="20"/>
        </w:rPr>
        <w:t>Named Person’s</w:t>
      </w:r>
      <w:r w:rsidRPr="0068476A">
        <w:rPr>
          <w:sz w:val="22"/>
          <w:szCs w:val="20"/>
        </w:rPr>
        <w:t xml:space="preserve"> business and the related commercial risks </w:t>
      </w:r>
      <w:r>
        <w:rPr>
          <w:sz w:val="22"/>
          <w:szCs w:val="20"/>
        </w:rPr>
        <w:t>as required under paragraph 8(2)(b) of the Business Conduct Rule.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20"/>
      </w:tblGrid>
      <w:tr w:rsidR="00531E7C" w14:paraId="272082C8" w14:textId="77777777" w:rsidTr="00A60A21">
        <w:tc>
          <w:tcPr>
            <w:tcW w:w="10617" w:type="dxa"/>
          </w:tcPr>
          <w:p w14:paraId="753E5C5A" w14:textId="77777777" w:rsidR="00FE6C6E" w:rsidRPr="007D4E7F" w:rsidRDefault="00FE6C6E" w:rsidP="00A60A21">
            <w:pPr>
              <w:spacing w:after="0"/>
              <w:rPr>
                <w:b/>
                <w:sz w:val="22"/>
                <w:lang w:val="en-US"/>
              </w:rPr>
            </w:pPr>
          </w:p>
          <w:p w14:paraId="7469E85F" w14:textId="77777777" w:rsidR="00FE6C6E" w:rsidRPr="007D4E7F" w:rsidRDefault="00201EFA" w:rsidP="00A60A21">
            <w:pPr>
              <w:spacing w:after="0"/>
              <w:jc w:val="both"/>
              <w:rPr>
                <w:bCs/>
                <w:sz w:val="22"/>
                <w:lang w:val="en-US"/>
              </w:rPr>
            </w:pPr>
            <w:r w:rsidRPr="007D4E7F">
              <w:rPr>
                <w:b/>
                <w:sz w:val="22"/>
                <w:u w:val="single"/>
                <w:lang w:val="en-US"/>
              </w:rPr>
              <w:t>Explanatory Note</w:t>
            </w:r>
            <w:r w:rsidRPr="007D4E7F">
              <w:rPr>
                <w:b/>
                <w:sz w:val="22"/>
                <w:lang w:val="en-US"/>
              </w:rPr>
              <w:t xml:space="preserve">: </w:t>
            </w:r>
            <w:r w:rsidRPr="007D4E7F">
              <w:rPr>
                <w:bCs/>
                <w:sz w:val="22"/>
                <w:lang w:val="en-US"/>
              </w:rPr>
              <w:t xml:space="preserve">This information is needed from a derivatives party that is both an </w:t>
            </w:r>
            <w:r w:rsidRPr="007D4E7F">
              <w:rPr>
                <w:b/>
                <w:bCs/>
                <w:sz w:val="22"/>
                <w:lang w:val="en-US"/>
              </w:rPr>
              <w:t>Eligible Commercial Hedger</w:t>
            </w:r>
            <w:r w:rsidRPr="007D4E7F">
              <w:rPr>
                <w:bCs/>
                <w:sz w:val="22"/>
                <w:lang w:val="en-US"/>
              </w:rPr>
              <w:t xml:space="preserve"> and an individual</w:t>
            </w:r>
            <w:r>
              <w:rPr>
                <w:bCs/>
                <w:sz w:val="22"/>
                <w:lang w:val="en-US"/>
              </w:rPr>
              <w:t xml:space="preserve"> </w:t>
            </w:r>
            <w:r w:rsidRPr="003B255E">
              <w:rPr>
                <w:bCs/>
                <w:sz w:val="22"/>
                <w:u w:val="single"/>
                <w:lang w:val="en-US"/>
              </w:rPr>
              <w:t>unless</w:t>
            </w:r>
            <w:r>
              <w:rPr>
                <w:bCs/>
                <w:sz w:val="22"/>
                <w:lang w:val="en-US"/>
              </w:rPr>
              <w:t xml:space="preserve"> you have checked the box under Part II, item 1(b), in which case, do not complete Part III.</w:t>
            </w:r>
          </w:p>
          <w:p w14:paraId="1E047222" w14:textId="77777777" w:rsidR="00FE6C6E" w:rsidRPr="007D4E7F" w:rsidRDefault="00FE6C6E" w:rsidP="00A60A21">
            <w:pPr>
              <w:spacing w:after="0"/>
              <w:jc w:val="both"/>
              <w:rPr>
                <w:bCs/>
                <w:sz w:val="22"/>
                <w:lang w:val="en-US"/>
              </w:rPr>
            </w:pPr>
          </w:p>
          <w:p w14:paraId="2B9B524D" w14:textId="77777777" w:rsidR="00FE6C6E" w:rsidRPr="007D4E7F" w:rsidRDefault="00201EFA" w:rsidP="00A60A21">
            <w:pPr>
              <w:spacing w:after="0"/>
              <w:jc w:val="both"/>
              <w:rPr>
                <w:bCs/>
                <w:sz w:val="22"/>
                <w:lang w:val="en-US"/>
              </w:rPr>
            </w:pPr>
            <w:r w:rsidRPr="007D4E7F">
              <w:rPr>
                <w:b/>
                <w:sz w:val="22"/>
                <w:u w:val="single"/>
                <w:lang w:val="en-US"/>
              </w:rPr>
              <w:t>Instructions</w:t>
            </w:r>
            <w:r w:rsidRPr="007D4E7F">
              <w:rPr>
                <w:b/>
                <w:sz w:val="22"/>
                <w:lang w:val="en-US"/>
              </w:rPr>
              <w:t xml:space="preserve">: </w:t>
            </w:r>
            <w:r w:rsidRPr="007D4E7F">
              <w:rPr>
                <w:bCs/>
                <w:sz w:val="22"/>
                <w:lang w:val="en-US"/>
              </w:rPr>
              <w:t>Complete the items in this Part</w:t>
            </w:r>
            <w:r>
              <w:rPr>
                <w:bCs/>
                <w:sz w:val="22"/>
                <w:lang w:val="en-US"/>
              </w:rPr>
              <w:t xml:space="preserve"> III</w:t>
            </w:r>
            <w:r w:rsidRPr="007D4E7F">
              <w:rPr>
                <w:bCs/>
                <w:sz w:val="22"/>
                <w:lang w:val="en-US"/>
              </w:rPr>
              <w:t xml:space="preserve"> by providing a reasonably detailed response to the requested information.  The Recipient may indicate that the Named Person does not need to complete </w:t>
            </w:r>
            <w:proofErr w:type="gramStart"/>
            <w:r w:rsidRPr="007D4E7F">
              <w:rPr>
                <w:bCs/>
                <w:sz w:val="22"/>
                <w:lang w:val="en-US"/>
              </w:rPr>
              <w:t>this</w:t>
            </w:r>
            <w:proofErr w:type="gramEnd"/>
            <w:r w:rsidRPr="007D4E7F">
              <w:rPr>
                <w:bCs/>
                <w:sz w:val="22"/>
                <w:lang w:val="en-US"/>
              </w:rPr>
              <w:t xml:space="preserve"> Part III.</w:t>
            </w:r>
          </w:p>
          <w:p w14:paraId="00B1268C" w14:textId="77777777" w:rsidR="00FE6C6E" w:rsidRPr="007D4E7F" w:rsidRDefault="00FE6C6E" w:rsidP="00A60A21">
            <w:pPr>
              <w:spacing w:after="0"/>
              <w:rPr>
                <w:sz w:val="22"/>
                <w:lang w:val="en-US"/>
              </w:rPr>
            </w:pPr>
          </w:p>
        </w:tc>
      </w:tr>
    </w:tbl>
    <w:p w14:paraId="2545F5CC" w14:textId="77777777" w:rsidR="00FE6C6E" w:rsidRPr="007D4E7F" w:rsidRDefault="00201EFA" w:rsidP="00FE6C6E">
      <w:pPr>
        <w:spacing w:line="240" w:lineRule="auto"/>
        <w:ind w:right="187"/>
        <w:jc w:val="both"/>
        <w:rPr>
          <w:bCs/>
          <w:sz w:val="22"/>
        </w:rPr>
      </w:pPr>
      <w:r w:rsidRPr="007D4E7F">
        <w:rPr>
          <w:bCs/>
          <w:sz w:val="22"/>
        </w:rPr>
        <w:t xml:space="preserve"> </w:t>
      </w:r>
    </w:p>
    <w:p w14:paraId="07F34880" w14:textId="77777777" w:rsidR="00FE6C6E" w:rsidRPr="007D4E7F" w:rsidRDefault="00201EFA" w:rsidP="00FE6C6E">
      <w:pPr>
        <w:pStyle w:val="ListParagraph"/>
        <w:numPr>
          <w:ilvl w:val="0"/>
          <w:numId w:val="20"/>
        </w:numPr>
        <w:spacing w:line="240" w:lineRule="auto"/>
        <w:ind w:right="187"/>
        <w:jc w:val="both"/>
        <w:rPr>
          <w:b/>
          <w:sz w:val="22"/>
          <w:u w:val="single"/>
          <w:lang w:val="en-CA"/>
        </w:rPr>
      </w:pPr>
      <w:r w:rsidRPr="007D4E7F">
        <w:rPr>
          <w:bCs/>
          <w:sz w:val="22"/>
          <w:lang w:val="en-CA"/>
        </w:rPr>
        <w:t>Describe the nature of the Named Person’s business:</w:t>
      </w:r>
    </w:p>
    <w:p w14:paraId="1B3106DE" w14:textId="77777777" w:rsidR="00FE6C6E" w:rsidRPr="007D4E7F" w:rsidRDefault="00FE6C6E" w:rsidP="00FE6C6E">
      <w:pPr>
        <w:pStyle w:val="ListParagraph"/>
        <w:spacing w:line="240" w:lineRule="auto"/>
        <w:ind w:right="187"/>
        <w:jc w:val="both"/>
        <w:rPr>
          <w:b/>
          <w:sz w:val="22"/>
          <w:u w:val="single"/>
          <w:lang w:val="en-CA"/>
        </w:rPr>
      </w:pPr>
    </w:p>
    <w:p w14:paraId="42E142DC" w14:textId="77777777" w:rsidR="00FE6C6E" w:rsidRPr="007D4E7F" w:rsidRDefault="00201EFA" w:rsidP="00FE6C6E">
      <w:pPr>
        <w:pStyle w:val="ListParagraph"/>
        <w:spacing w:line="240" w:lineRule="auto"/>
        <w:ind w:right="187"/>
        <w:jc w:val="both"/>
        <w:rPr>
          <w:bCs/>
          <w:sz w:val="22"/>
          <w:u w:val="single"/>
          <w:lang w:val="en-CA"/>
        </w:rPr>
      </w:pP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p>
    <w:p w14:paraId="56CEC9B3" w14:textId="77777777" w:rsidR="00FE6C6E" w:rsidRPr="007D4E7F" w:rsidRDefault="00FE6C6E" w:rsidP="00FE6C6E">
      <w:pPr>
        <w:pStyle w:val="ListParagraph"/>
        <w:spacing w:line="240" w:lineRule="auto"/>
        <w:ind w:left="1440" w:right="187"/>
        <w:jc w:val="both"/>
        <w:rPr>
          <w:bCs/>
          <w:sz w:val="22"/>
          <w:u w:val="single"/>
          <w:lang w:val="en-CA"/>
        </w:rPr>
      </w:pPr>
    </w:p>
    <w:p w14:paraId="561CBD08" w14:textId="77777777" w:rsidR="00FE6C6E" w:rsidRPr="007D4E7F" w:rsidRDefault="00201EFA" w:rsidP="00FE6C6E">
      <w:pPr>
        <w:pStyle w:val="ListParagraph"/>
        <w:spacing w:line="240" w:lineRule="auto"/>
        <w:ind w:right="187"/>
        <w:jc w:val="both"/>
        <w:rPr>
          <w:bCs/>
          <w:sz w:val="22"/>
          <w:u w:val="single"/>
          <w:lang w:val="en-CA"/>
        </w:rPr>
      </w:pP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p>
    <w:p w14:paraId="278CB00D" w14:textId="77777777" w:rsidR="00FE6C6E" w:rsidRPr="007D4E7F" w:rsidRDefault="00FE6C6E" w:rsidP="00FE6C6E">
      <w:pPr>
        <w:pStyle w:val="ListParagraph"/>
        <w:spacing w:line="240" w:lineRule="auto"/>
        <w:ind w:right="187"/>
        <w:jc w:val="both"/>
        <w:rPr>
          <w:bCs/>
          <w:sz w:val="22"/>
          <w:u w:val="single"/>
          <w:lang w:val="en-CA"/>
        </w:rPr>
      </w:pPr>
    </w:p>
    <w:p w14:paraId="5B4ABBE3" w14:textId="77777777" w:rsidR="00FE6C6E" w:rsidRPr="007D4E7F" w:rsidRDefault="00201EFA" w:rsidP="00FE6C6E">
      <w:pPr>
        <w:pStyle w:val="ListParagraph"/>
        <w:spacing w:line="240" w:lineRule="auto"/>
        <w:ind w:right="187"/>
        <w:jc w:val="both"/>
        <w:rPr>
          <w:bCs/>
          <w:sz w:val="22"/>
          <w:u w:val="single"/>
          <w:lang w:val="en-CA"/>
        </w:rPr>
      </w:pP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p>
    <w:p w14:paraId="5D16D326" w14:textId="77777777" w:rsidR="00FE6C6E" w:rsidRPr="007D4E7F" w:rsidRDefault="00FE6C6E" w:rsidP="00FE6C6E">
      <w:pPr>
        <w:pStyle w:val="ListParagraph"/>
        <w:spacing w:line="240" w:lineRule="auto"/>
        <w:ind w:right="187"/>
        <w:jc w:val="both"/>
        <w:rPr>
          <w:bCs/>
          <w:sz w:val="22"/>
          <w:u w:val="single"/>
          <w:lang w:val="en-CA"/>
        </w:rPr>
      </w:pPr>
    </w:p>
    <w:p w14:paraId="4FAF30EB" w14:textId="77777777" w:rsidR="00FE6C6E" w:rsidRPr="007D4E7F" w:rsidRDefault="00201EFA" w:rsidP="00FE6C6E">
      <w:pPr>
        <w:pStyle w:val="ListParagraph"/>
        <w:spacing w:line="240" w:lineRule="auto"/>
        <w:ind w:right="187"/>
        <w:jc w:val="both"/>
        <w:rPr>
          <w:bCs/>
          <w:sz w:val="22"/>
          <w:u w:val="single"/>
          <w:lang w:val="en-CA"/>
        </w:rPr>
      </w:pP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p>
    <w:p w14:paraId="0EF49897" w14:textId="77777777" w:rsidR="00FE6C6E" w:rsidRPr="007D4E7F" w:rsidRDefault="00FE6C6E" w:rsidP="00FE6C6E">
      <w:pPr>
        <w:pStyle w:val="ListParagraph"/>
        <w:spacing w:line="240" w:lineRule="auto"/>
        <w:ind w:right="187"/>
        <w:jc w:val="both"/>
        <w:rPr>
          <w:bCs/>
          <w:sz w:val="22"/>
          <w:lang w:val="en-CA"/>
        </w:rPr>
      </w:pPr>
    </w:p>
    <w:p w14:paraId="588E9DF0" w14:textId="77777777" w:rsidR="00FE6C6E" w:rsidRPr="007D4E7F" w:rsidRDefault="00201EFA" w:rsidP="00FE6C6E">
      <w:pPr>
        <w:pStyle w:val="ListParagraph"/>
        <w:keepNext/>
        <w:keepLines/>
        <w:numPr>
          <w:ilvl w:val="0"/>
          <w:numId w:val="20"/>
        </w:numPr>
        <w:spacing w:line="240" w:lineRule="auto"/>
        <w:ind w:right="187"/>
        <w:jc w:val="both"/>
        <w:rPr>
          <w:b/>
          <w:sz w:val="22"/>
          <w:u w:val="single"/>
          <w:lang w:val="en-CA"/>
        </w:rPr>
      </w:pPr>
      <w:r w:rsidRPr="007D4E7F">
        <w:rPr>
          <w:bCs/>
          <w:sz w:val="22"/>
          <w:lang w:val="en-CA"/>
        </w:rPr>
        <w:t xml:space="preserve">Indicate the commercial risks that the Named Person is hedging in relation to the business described in </w:t>
      </w:r>
      <w:r>
        <w:rPr>
          <w:bCs/>
          <w:sz w:val="22"/>
          <w:lang w:val="en-CA"/>
        </w:rPr>
        <w:t xml:space="preserve">Part III </w:t>
      </w:r>
      <w:r w:rsidRPr="007D4E7F">
        <w:rPr>
          <w:bCs/>
          <w:sz w:val="22"/>
          <w:lang w:val="en-CA"/>
        </w:rPr>
        <w:t xml:space="preserve">item 1: </w:t>
      </w:r>
      <w:r w:rsidRPr="007D4E7F">
        <w:rPr>
          <w:bCs/>
          <w:i/>
          <w:iCs/>
          <w:color w:val="0070C0"/>
          <w:sz w:val="22"/>
          <w:lang w:val="en-CA"/>
        </w:rPr>
        <w:t>Select all that apply.</w:t>
      </w:r>
    </w:p>
    <w:p w14:paraId="724DEC28" w14:textId="77777777" w:rsidR="00FE6C6E" w:rsidRPr="007D4E7F" w:rsidRDefault="00FE6C6E" w:rsidP="00FE6C6E">
      <w:pPr>
        <w:pStyle w:val="ListParagraph"/>
        <w:keepNext/>
        <w:keepLines/>
        <w:spacing w:line="240" w:lineRule="auto"/>
        <w:ind w:right="187"/>
        <w:jc w:val="both"/>
        <w:rPr>
          <w:b/>
          <w:sz w:val="22"/>
          <w:u w:val="single"/>
          <w:lang w:val="en-CA"/>
        </w:rPr>
      </w:pPr>
    </w:p>
    <w:p w14:paraId="3269B0EB" w14:textId="77777777" w:rsidR="00FE6C6E" w:rsidRPr="007D4E7F" w:rsidRDefault="00201EFA" w:rsidP="00FE6C6E">
      <w:pPr>
        <w:pStyle w:val="ListParagraph"/>
        <w:keepNext/>
        <w:keepLines/>
        <w:numPr>
          <w:ilvl w:val="1"/>
          <w:numId w:val="20"/>
        </w:numPr>
        <w:spacing w:line="240" w:lineRule="auto"/>
        <w:ind w:right="187"/>
        <w:jc w:val="both"/>
        <w:rPr>
          <w:b/>
          <w:sz w:val="22"/>
          <w:u w:val="single"/>
          <w:lang w:val="en-CA"/>
        </w:rPr>
      </w:pPr>
      <w:r w:rsidRPr="007D4E7F">
        <w:rPr>
          <w:sz w:val="22"/>
        </w:rPr>
        <w:fldChar w:fldCharType="begin">
          <w:ffData>
            <w:name w:val="Check1"/>
            <w:enabled/>
            <w:calcOnExit w:val="0"/>
            <w:checkBox>
              <w:sizeAuto/>
              <w:default w:val="0"/>
            </w:checkBox>
          </w:ffData>
        </w:fldChar>
      </w:r>
      <w:r w:rsidRPr="007D4E7F">
        <w:rPr>
          <w:sz w:val="22"/>
        </w:rPr>
        <w:instrText xml:space="preserve"> FORMCHECKBOX </w:instrText>
      </w:r>
      <w:r w:rsidRPr="007D4E7F">
        <w:rPr>
          <w:sz w:val="22"/>
        </w:rPr>
      </w:r>
      <w:r w:rsidRPr="007D4E7F">
        <w:rPr>
          <w:sz w:val="22"/>
        </w:rPr>
        <w:fldChar w:fldCharType="separate"/>
      </w:r>
      <w:r w:rsidRPr="007D4E7F">
        <w:rPr>
          <w:sz w:val="22"/>
        </w:rPr>
        <w:fldChar w:fldCharType="end"/>
      </w:r>
      <w:r w:rsidRPr="007D4E7F">
        <w:rPr>
          <w:sz w:val="22"/>
        </w:rPr>
        <w:t xml:space="preserve"> Interest rate risk</w:t>
      </w:r>
    </w:p>
    <w:p w14:paraId="1BB500EA" w14:textId="77777777" w:rsidR="00FE6C6E" w:rsidRPr="007D4E7F" w:rsidRDefault="00201EFA" w:rsidP="00FE6C6E">
      <w:pPr>
        <w:pStyle w:val="ListParagraph"/>
        <w:numPr>
          <w:ilvl w:val="1"/>
          <w:numId w:val="20"/>
        </w:numPr>
        <w:spacing w:line="240" w:lineRule="auto"/>
        <w:ind w:right="187"/>
        <w:jc w:val="both"/>
        <w:rPr>
          <w:b/>
          <w:sz w:val="22"/>
          <w:u w:val="single"/>
          <w:lang w:val="en-CA"/>
        </w:rPr>
      </w:pPr>
      <w:r w:rsidRPr="007D4E7F">
        <w:rPr>
          <w:sz w:val="22"/>
        </w:rPr>
        <w:fldChar w:fldCharType="begin">
          <w:ffData>
            <w:name w:val="Check1"/>
            <w:enabled/>
            <w:calcOnExit w:val="0"/>
            <w:checkBox>
              <w:sizeAuto/>
              <w:default w:val="0"/>
            </w:checkBox>
          </w:ffData>
        </w:fldChar>
      </w:r>
      <w:r w:rsidRPr="007D4E7F">
        <w:rPr>
          <w:sz w:val="22"/>
        </w:rPr>
        <w:instrText xml:space="preserve"> FORMCHECKBOX </w:instrText>
      </w:r>
      <w:r w:rsidRPr="007D4E7F">
        <w:rPr>
          <w:sz w:val="22"/>
        </w:rPr>
      </w:r>
      <w:r w:rsidRPr="007D4E7F">
        <w:rPr>
          <w:sz w:val="22"/>
        </w:rPr>
        <w:fldChar w:fldCharType="separate"/>
      </w:r>
      <w:r w:rsidRPr="007D4E7F">
        <w:rPr>
          <w:sz w:val="22"/>
        </w:rPr>
        <w:fldChar w:fldCharType="end"/>
      </w:r>
      <w:r w:rsidRPr="007D4E7F">
        <w:rPr>
          <w:sz w:val="22"/>
        </w:rPr>
        <w:t xml:space="preserve"> </w:t>
      </w:r>
      <w:r w:rsidRPr="007D4E7F">
        <w:rPr>
          <w:bCs/>
          <w:sz w:val="22"/>
          <w:lang w:val="en-CA"/>
        </w:rPr>
        <w:t>Foreign exchange risk</w:t>
      </w:r>
    </w:p>
    <w:p w14:paraId="09F0C6CF" w14:textId="77777777" w:rsidR="00FE6C6E" w:rsidRPr="007D4E7F" w:rsidRDefault="00201EFA" w:rsidP="00FE6C6E">
      <w:pPr>
        <w:pStyle w:val="ListParagraph"/>
        <w:numPr>
          <w:ilvl w:val="1"/>
          <w:numId w:val="20"/>
        </w:numPr>
        <w:spacing w:line="240" w:lineRule="auto"/>
        <w:ind w:right="187"/>
        <w:jc w:val="both"/>
        <w:rPr>
          <w:b/>
          <w:sz w:val="22"/>
          <w:u w:val="single"/>
          <w:lang w:val="en-CA"/>
        </w:rPr>
      </w:pPr>
      <w:r w:rsidRPr="007D4E7F">
        <w:rPr>
          <w:sz w:val="22"/>
        </w:rPr>
        <w:fldChar w:fldCharType="begin">
          <w:ffData>
            <w:name w:val="Check1"/>
            <w:enabled/>
            <w:calcOnExit w:val="0"/>
            <w:checkBox>
              <w:sizeAuto/>
              <w:default w:val="0"/>
            </w:checkBox>
          </w:ffData>
        </w:fldChar>
      </w:r>
      <w:r w:rsidRPr="007D4E7F">
        <w:rPr>
          <w:sz w:val="22"/>
        </w:rPr>
        <w:instrText xml:space="preserve"> FORMCHECKBOX </w:instrText>
      </w:r>
      <w:r w:rsidRPr="007D4E7F">
        <w:rPr>
          <w:sz w:val="22"/>
        </w:rPr>
      </w:r>
      <w:r w:rsidRPr="007D4E7F">
        <w:rPr>
          <w:sz w:val="22"/>
        </w:rPr>
        <w:fldChar w:fldCharType="separate"/>
      </w:r>
      <w:r w:rsidRPr="007D4E7F">
        <w:rPr>
          <w:sz w:val="22"/>
        </w:rPr>
        <w:fldChar w:fldCharType="end"/>
      </w:r>
      <w:r w:rsidRPr="007D4E7F">
        <w:rPr>
          <w:sz w:val="22"/>
        </w:rPr>
        <w:t xml:space="preserve"> </w:t>
      </w:r>
      <w:r w:rsidRPr="007D4E7F">
        <w:rPr>
          <w:bCs/>
          <w:sz w:val="22"/>
          <w:lang w:val="en-CA"/>
        </w:rPr>
        <w:t>Commodity price risk</w:t>
      </w:r>
    </w:p>
    <w:p w14:paraId="7507B6B5" w14:textId="77777777" w:rsidR="00FE6C6E" w:rsidRPr="007D4E7F" w:rsidRDefault="00201EFA" w:rsidP="00FE6C6E">
      <w:pPr>
        <w:pStyle w:val="ListParagraph"/>
        <w:numPr>
          <w:ilvl w:val="1"/>
          <w:numId w:val="20"/>
        </w:numPr>
        <w:spacing w:line="240" w:lineRule="auto"/>
        <w:ind w:right="187"/>
        <w:jc w:val="both"/>
        <w:rPr>
          <w:b/>
          <w:sz w:val="22"/>
          <w:u w:val="single"/>
          <w:lang w:val="en-CA"/>
        </w:rPr>
      </w:pPr>
      <w:r w:rsidRPr="007D4E7F">
        <w:rPr>
          <w:sz w:val="22"/>
        </w:rPr>
        <w:fldChar w:fldCharType="begin">
          <w:ffData>
            <w:name w:val="Check1"/>
            <w:enabled/>
            <w:calcOnExit w:val="0"/>
            <w:checkBox>
              <w:sizeAuto/>
              <w:default w:val="0"/>
            </w:checkBox>
          </w:ffData>
        </w:fldChar>
      </w:r>
      <w:r w:rsidRPr="007D4E7F">
        <w:rPr>
          <w:sz w:val="22"/>
        </w:rPr>
        <w:instrText xml:space="preserve"> FORMCHECKBOX </w:instrText>
      </w:r>
      <w:r w:rsidRPr="007D4E7F">
        <w:rPr>
          <w:sz w:val="22"/>
        </w:rPr>
      </w:r>
      <w:r w:rsidRPr="007D4E7F">
        <w:rPr>
          <w:sz w:val="22"/>
        </w:rPr>
        <w:fldChar w:fldCharType="separate"/>
      </w:r>
      <w:r w:rsidRPr="007D4E7F">
        <w:rPr>
          <w:sz w:val="22"/>
        </w:rPr>
        <w:fldChar w:fldCharType="end"/>
      </w:r>
      <w:r w:rsidRPr="007D4E7F">
        <w:rPr>
          <w:sz w:val="22"/>
        </w:rPr>
        <w:t xml:space="preserve"> </w:t>
      </w:r>
      <w:r w:rsidRPr="007D4E7F">
        <w:rPr>
          <w:bCs/>
          <w:sz w:val="22"/>
          <w:lang w:val="en-CA"/>
        </w:rPr>
        <w:t>Credit risk</w:t>
      </w:r>
    </w:p>
    <w:p w14:paraId="43F930D8" w14:textId="77777777" w:rsidR="00FE6C6E" w:rsidRPr="007D4E7F" w:rsidRDefault="00201EFA" w:rsidP="00FE6C6E">
      <w:pPr>
        <w:pStyle w:val="ListParagraph"/>
        <w:numPr>
          <w:ilvl w:val="1"/>
          <w:numId w:val="20"/>
        </w:numPr>
        <w:spacing w:line="240" w:lineRule="auto"/>
        <w:ind w:right="187"/>
        <w:jc w:val="both"/>
        <w:rPr>
          <w:b/>
          <w:sz w:val="22"/>
          <w:u w:val="single"/>
          <w:lang w:val="en-CA"/>
        </w:rPr>
      </w:pPr>
      <w:r w:rsidRPr="007D4E7F">
        <w:rPr>
          <w:sz w:val="22"/>
        </w:rPr>
        <w:fldChar w:fldCharType="begin">
          <w:ffData>
            <w:name w:val="Check1"/>
            <w:enabled/>
            <w:calcOnExit w:val="0"/>
            <w:checkBox>
              <w:sizeAuto/>
              <w:default w:val="0"/>
            </w:checkBox>
          </w:ffData>
        </w:fldChar>
      </w:r>
      <w:r w:rsidRPr="007D4E7F">
        <w:rPr>
          <w:sz w:val="22"/>
        </w:rPr>
        <w:instrText xml:space="preserve"> FORMCHECKBOX </w:instrText>
      </w:r>
      <w:r w:rsidRPr="007D4E7F">
        <w:rPr>
          <w:sz w:val="22"/>
        </w:rPr>
      </w:r>
      <w:r w:rsidRPr="007D4E7F">
        <w:rPr>
          <w:sz w:val="22"/>
        </w:rPr>
        <w:fldChar w:fldCharType="separate"/>
      </w:r>
      <w:r w:rsidRPr="007D4E7F">
        <w:rPr>
          <w:sz w:val="22"/>
        </w:rPr>
        <w:fldChar w:fldCharType="end"/>
      </w:r>
      <w:r w:rsidRPr="007D4E7F">
        <w:rPr>
          <w:sz w:val="22"/>
        </w:rPr>
        <w:t xml:space="preserve"> The following risk(s): </w:t>
      </w:r>
      <w:r w:rsidRPr="007D4E7F">
        <w:rPr>
          <w:i/>
          <w:iCs/>
          <w:color w:val="0070C0"/>
          <w:sz w:val="22"/>
        </w:rPr>
        <w:t>Insert description of applicable risk(s). If no additional risk is indicated, the Named Person is deemed to have answered “None” for this item 2(</w:t>
      </w:r>
      <w:r>
        <w:rPr>
          <w:i/>
          <w:iCs/>
          <w:color w:val="0070C0"/>
          <w:sz w:val="22"/>
        </w:rPr>
        <w:t>e</w:t>
      </w:r>
      <w:r w:rsidRPr="007D4E7F">
        <w:rPr>
          <w:i/>
          <w:iCs/>
          <w:color w:val="0070C0"/>
          <w:sz w:val="22"/>
        </w:rPr>
        <w:t>).</w:t>
      </w:r>
    </w:p>
    <w:p w14:paraId="49D3A84F" w14:textId="77777777" w:rsidR="00FE6C6E" w:rsidRPr="007D4E7F" w:rsidRDefault="00FE6C6E" w:rsidP="00FE6C6E">
      <w:pPr>
        <w:pStyle w:val="ListParagraph"/>
        <w:spacing w:line="240" w:lineRule="auto"/>
        <w:ind w:left="1440" w:right="187"/>
        <w:jc w:val="both"/>
        <w:rPr>
          <w:bCs/>
          <w:sz w:val="22"/>
          <w:u w:val="single"/>
          <w:lang w:val="en-CA"/>
        </w:rPr>
      </w:pPr>
    </w:p>
    <w:p w14:paraId="57ECB05F" w14:textId="77777777" w:rsidR="00FE6C6E" w:rsidRPr="007D4E7F" w:rsidRDefault="00201EFA" w:rsidP="00FE6C6E">
      <w:pPr>
        <w:pStyle w:val="ListParagraph"/>
        <w:spacing w:line="240" w:lineRule="auto"/>
        <w:ind w:left="1440" w:right="187"/>
        <w:jc w:val="both"/>
        <w:rPr>
          <w:bCs/>
          <w:sz w:val="22"/>
          <w:u w:val="single"/>
          <w:lang w:val="en-CA"/>
        </w:rPr>
      </w:pP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p>
    <w:p w14:paraId="2E3705E7" w14:textId="77777777" w:rsidR="00FE6C6E" w:rsidRPr="007D4E7F" w:rsidRDefault="00FE6C6E" w:rsidP="00FE6C6E">
      <w:pPr>
        <w:pStyle w:val="ListParagraph"/>
        <w:spacing w:line="240" w:lineRule="auto"/>
        <w:ind w:left="1440" w:right="187"/>
        <w:jc w:val="both"/>
        <w:rPr>
          <w:bCs/>
          <w:sz w:val="22"/>
          <w:u w:val="single"/>
          <w:lang w:val="en-CA"/>
        </w:rPr>
      </w:pPr>
    </w:p>
    <w:p w14:paraId="0FEA3D25" w14:textId="77777777" w:rsidR="00FE6C6E" w:rsidRPr="007D4E7F" w:rsidRDefault="00201EFA" w:rsidP="00FE6C6E">
      <w:pPr>
        <w:pStyle w:val="ListParagraph"/>
        <w:spacing w:line="240" w:lineRule="auto"/>
        <w:ind w:left="1440" w:right="187"/>
        <w:jc w:val="both"/>
        <w:rPr>
          <w:bCs/>
          <w:sz w:val="22"/>
          <w:lang w:val="en-CA"/>
        </w:rPr>
      </w:pP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p>
    <w:p w14:paraId="28388032" w14:textId="77777777" w:rsidR="00FE6C6E" w:rsidRPr="007D4E7F" w:rsidRDefault="00201EFA" w:rsidP="00FE6C6E">
      <w:pPr>
        <w:spacing w:after="0" w:line="240" w:lineRule="auto"/>
        <w:rPr>
          <w:b/>
          <w:sz w:val="22"/>
        </w:rPr>
      </w:pPr>
      <w:r w:rsidRPr="007D4E7F">
        <w:rPr>
          <w:b/>
          <w:sz w:val="22"/>
        </w:rPr>
        <w:br w:type="page"/>
      </w:r>
    </w:p>
    <w:p w14:paraId="1A9ACA25" w14:textId="77777777" w:rsidR="00FE6C6E" w:rsidRDefault="00201EFA" w:rsidP="00FE6C6E">
      <w:pPr>
        <w:spacing w:line="240" w:lineRule="auto"/>
        <w:ind w:right="187"/>
        <w:jc w:val="both"/>
        <w:rPr>
          <w:b/>
          <w:sz w:val="22"/>
        </w:rPr>
      </w:pPr>
      <w:r w:rsidRPr="007D4E7F">
        <w:rPr>
          <w:b/>
          <w:sz w:val="22"/>
        </w:rPr>
        <w:lastRenderedPageBreak/>
        <w:t xml:space="preserve">PART IV: </w:t>
      </w:r>
      <w:r w:rsidRPr="00CE6403">
        <w:rPr>
          <w:b/>
          <w:sz w:val="22"/>
        </w:rPr>
        <w:t>REPRESENTATION TO ENABLE CERTAIN RECIPIENTS TO RELY ON THE FOREIGN LIQUIDITY PROVIDER EXEMPTION</w:t>
      </w:r>
      <w:r>
        <w:rPr>
          <w:rStyle w:val="FootnoteReference"/>
          <w:b/>
          <w:sz w:val="22"/>
        </w:rPr>
        <w:footnoteReference w:id="12"/>
      </w:r>
    </w:p>
    <w:p w14:paraId="3F49A7F6" w14:textId="6E760819" w:rsidR="00FE6C6E" w:rsidRPr="00BF2CC9" w:rsidRDefault="00201EFA" w:rsidP="00FE6C6E">
      <w:pPr>
        <w:shd w:val="clear" w:color="auto" w:fill="D9D9D9" w:themeFill="background1" w:themeFillShade="D9"/>
        <w:spacing w:line="240" w:lineRule="auto"/>
        <w:ind w:right="187"/>
        <w:jc w:val="both"/>
        <w:rPr>
          <w:bCs/>
          <w:sz w:val="22"/>
        </w:rPr>
      </w:pPr>
      <w:r>
        <w:rPr>
          <w:bCs/>
          <w:sz w:val="22"/>
        </w:rPr>
        <w:t xml:space="preserve">Complete Part IV </w:t>
      </w:r>
      <w:r w:rsidRPr="008F0ADE">
        <w:rPr>
          <w:b/>
          <w:sz w:val="22"/>
        </w:rPr>
        <w:t>only</w:t>
      </w:r>
      <w:r>
        <w:rPr>
          <w:bCs/>
          <w:sz w:val="22"/>
        </w:rPr>
        <w:t xml:space="preserve"> if the Named Person is </w:t>
      </w:r>
      <w:r w:rsidR="001D77A1">
        <w:rPr>
          <w:bCs/>
          <w:sz w:val="22"/>
        </w:rPr>
        <w:t xml:space="preserve">a </w:t>
      </w:r>
      <w:r>
        <w:rPr>
          <w:bCs/>
          <w:sz w:val="22"/>
        </w:rPr>
        <w:t>derivatives dealer</w:t>
      </w:r>
      <w:r w:rsidR="001D77A1">
        <w:rPr>
          <w:bCs/>
          <w:sz w:val="22"/>
        </w:rPr>
        <w:t xml:space="preserve"> or a registered investment dealer</w:t>
      </w:r>
      <w:r>
        <w:rPr>
          <w:bCs/>
          <w:sz w:val="22"/>
        </w:rPr>
        <w:t>.</w:t>
      </w:r>
      <w:r w:rsidR="001D77A1">
        <w:rPr>
          <w:bCs/>
          <w:sz w:val="22"/>
        </w:rPr>
        <w:t xml:space="preserve"> Note that registration as a derivatives dealer is not required to be treated as a derivatives dealer under the Business Conduct Rule.</w:t>
      </w:r>
      <w:r>
        <w:rPr>
          <w:rStyle w:val="FootnoteReference"/>
          <w:bCs/>
          <w:sz w:val="22"/>
        </w:rPr>
        <w:footnoteReference w:id="13"/>
      </w:r>
      <w:r w:rsidR="001D77A1">
        <w:rPr>
          <w:bCs/>
          <w:sz w:val="22"/>
        </w:rPr>
        <w:t xml:space="preserve"> </w:t>
      </w:r>
      <w:r w:rsidR="002B6770">
        <w:rPr>
          <w:bCs/>
          <w:sz w:val="22"/>
        </w:rPr>
        <w:t xml:space="preserve">This information is intended to assist </w:t>
      </w:r>
      <w:r>
        <w:rPr>
          <w:bCs/>
          <w:sz w:val="22"/>
        </w:rPr>
        <w:t xml:space="preserve">the </w:t>
      </w:r>
      <w:r>
        <w:rPr>
          <w:bCs/>
          <w:sz w:val="22"/>
          <w:lang w:val="en-CA"/>
        </w:rPr>
        <w:t xml:space="preserve">Recipient </w:t>
      </w:r>
      <w:r w:rsidR="002B6770">
        <w:rPr>
          <w:bCs/>
          <w:sz w:val="22"/>
          <w:lang w:val="en-CA"/>
        </w:rPr>
        <w:t>in determining</w:t>
      </w:r>
      <w:r>
        <w:rPr>
          <w:bCs/>
          <w:sz w:val="22"/>
          <w:lang w:val="en-CA"/>
        </w:rPr>
        <w:t xml:space="preserve"> whether it may rely on the “Foreign Liquidity Provider” exemption under section 37 of the Business Conduct Rule.</w:t>
      </w:r>
    </w:p>
    <w:tbl>
      <w:tblPr>
        <w:tblStyle w:val="TableGrid"/>
        <w:tblW w:w="101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55"/>
      </w:tblGrid>
      <w:tr w:rsidR="00531E7C" w14:paraId="751E503C" w14:textId="77777777" w:rsidTr="00A60A21">
        <w:tc>
          <w:tcPr>
            <w:tcW w:w="10155" w:type="dxa"/>
          </w:tcPr>
          <w:p w14:paraId="07BD5CE4" w14:textId="77777777" w:rsidR="00FE6C6E" w:rsidRPr="007D4E7F" w:rsidRDefault="00FE6C6E" w:rsidP="00A60A21">
            <w:pPr>
              <w:spacing w:after="0"/>
              <w:rPr>
                <w:b/>
                <w:sz w:val="22"/>
                <w:lang w:val="en-US"/>
              </w:rPr>
            </w:pPr>
          </w:p>
          <w:p w14:paraId="06A1461D" w14:textId="77777777" w:rsidR="00FE6C6E" w:rsidRPr="007D4E7F" w:rsidRDefault="00201EFA" w:rsidP="00A60A21">
            <w:pPr>
              <w:spacing w:after="0"/>
              <w:rPr>
                <w:sz w:val="22"/>
                <w:lang w:val="en-US"/>
              </w:rPr>
            </w:pPr>
            <w:r w:rsidRPr="007D4E7F">
              <w:rPr>
                <w:b/>
                <w:sz w:val="22"/>
                <w:u w:val="single"/>
                <w:lang w:val="en-US"/>
              </w:rPr>
              <w:t>Instructions</w:t>
            </w:r>
            <w:r w:rsidRPr="007D4E7F">
              <w:rPr>
                <w:b/>
                <w:sz w:val="22"/>
                <w:lang w:val="en-US"/>
              </w:rPr>
              <w:t xml:space="preserve">: </w:t>
            </w:r>
            <w:r w:rsidRPr="007D4E7F">
              <w:rPr>
                <w:bCs/>
                <w:sz w:val="22"/>
                <w:lang w:val="en-US"/>
              </w:rPr>
              <w:t>Make the representation in item 1</w:t>
            </w:r>
            <w:r>
              <w:rPr>
                <w:bCs/>
                <w:sz w:val="22"/>
                <w:lang w:val="en-US"/>
              </w:rPr>
              <w:t>, if applicable.</w:t>
            </w:r>
          </w:p>
          <w:p w14:paraId="740B6B3F" w14:textId="77777777" w:rsidR="00FE6C6E" w:rsidRPr="007D4E7F" w:rsidRDefault="00FE6C6E" w:rsidP="00A60A21">
            <w:pPr>
              <w:spacing w:after="0"/>
              <w:rPr>
                <w:sz w:val="22"/>
                <w:lang w:val="en-US"/>
              </w:rPr>
            </w:pPr>
          </w:p>
        </w:tc>
      </w:tr>
    </w:tbl>
    <w:p w14:paraId="26F913D8" w14:textId="77777777" w:rsidR="00FE6C6E" w:rsidRDefault="00FE6C6E" w:rsidP="00FE6C6E">
      <w:pPr>
        <w:spacing w:line="240" w:lineRule="auto"/>
        <w:ind w:right="187"/>
        <w:jc w:val="both"/>
        <w:rPr>
          <w:bCs/>
          <w:sz w:val="22"/>
          <w:lang w:val="en-CA"/>
        </w:rPr>
      </w:pPr>
    </w:p>
    <w:p w14:paraId="3C7B1DA9" w14:textId="77777777" w:rsidR="00FE6C6E" w:rsidRPr="00AF55CF" w:rsidRDefault="00201EFA" w:rsidP="00FE6C6E">
      <w:pPr>
        <w:pStyle w:val="ListParagraph"/>
        <w:numPr>
          <w:ilvl w:val="0"/>
          <w:numId w:val="22"/>
        </w:numPr>
        <w:spacing w:line="240" w:lineRule="auto"/>
        <w:ind w:right="187"/>
        <w:jc w:val="both"/>
        <w:rPr>
          <w:b/>
          <w:sz w:val="22"/>
          <w:u w:val="single"/>
          <w:lang w:val="en-CA"/>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Pr>
          <w:bCs/>
          <w:sz w:val="22"/>
          <w:lang w:val="en-CA"/>
        </w:rPr>
        <w:t xml:space="preserve"> </w:t>
      </w:r>
      <w:r w:rsidRPr="007D4E7F">
        <w:rPr>
          <w:bCs/>
          <w:sz w:val="22"/>
          <w:lang w:val="en-CA"/>
        </w:rPr>
        <w:t>The Named Person represents that it</w:t>
      </w:r>
      <w:r>
        <w:rPr>
          <w:bCs/>
          <w:sz w:val="22"/>
          <w:lang w:val="en-CA"/>
        </w:rPr>
        <w:t xml:space="preserve"> transacts with Recipient as principal for its own account, and</w:t>
      </w:r>
      <w:r w:rsidRPr="007D4E7F">
        <w:rPr>
          <w:bCs/>
          <w:sz w:val="22"/>
          <w:lang w:val="en-CA"/>
        </w:rPr>
        <w:t xml:space="preserve"> is</w:t>
      </w:r>
      <w:r>
        <w:rPr>
          <w:bCs/>
          <w:sz w:val="22"/>
          <w:lang w:val="en-CA"/>
        </w:rPr>
        <w:t xml:space="preserve"> either:</w:t>
      </w:r>
    </w:p>
    <w:p w14:paraId="5A2DAE37" w14:textId="77777777" w:rsidR="00FE6C6E" w:rsidRPr="00AF55CF" w:rsidRDefault="00201EFA" w:rsidP="00FE6C6E">
      <w:pPr>
        <w:pStyle w:val="ListParagraph"/>
        <w:numPr>
          <w:ilvl w:val="1"/>
          <w:numId w:val="22"/>
        </w:numPr>
        <w:spacing w:line="240" w:lineRule="auto"/>
        <w:ind w:right="187"/>
        <w:jc w:val="both"/>
        <w:rPr>
          <w:b/>
          <w:sz w:val="22"/>
          <w:u w:val="single"/>
          <w:lang w:val="en-CA"/>
        </w:rPr>
      </w:pPr>
      <w:r w:rsidRPr="007D4E7F">
        <w:rPr>
          <w:bCs/>
          <w:sz w:val="22"/>
        </w:rPr>
        <w:t xml:space="preserve"> </w:t>
      </w:r>
      <w:r w:rsidRPr="007D4E7F">
        <w:rPr>
          <w:bCs/>
          <w:sz w:val="22"/>
          <w:lang w:val="en-CA"/>
        </w:rPr>
        <w:t>an investment dealer registered in accordance with NI 31-103</w:t>
      </w:r>
      <w:r>
        <w:rPr>
          <w:bCs/>
          <w:sz w:val="22"/>
          <w:lang w:val="en-CA"/>
        </w:rPr>
        <w:t>; or</w:t>
      </w:r>
    </w:p>
    <w:p w14:paraId="25815B4F" w14:textId="77777777" w:rsidR="00FE6C6E" w:rsidRPr="00CE6403" w:rsidRDefault="00201EFA" w:rsidP="00FE6C6E">
      <w:pPr>
        <w:pStyle w:val="ListParagraph"/>
        <w:numPr>
          <w:ilvl w:val="1"/>
          <w:numId w:val="22"/>
        </w:numPr>
        <w:spacing w:line="240" w:lineRule="auto"/>
        <w:ind w:right="187"/>
        <w:jc w:val="both"/>
        <w:rPr>
          <w:bCs/>
          <w:sz w:val="22"/>
          <w:lang w:val="en-CA"/>
        </w:rPr>
      </w:pPr>
      <w:r w:rsidRPr="00CE6403">
        <w:rPr>
          <w:bCs/>
          <w:sz w:val="22"/>
          <w:lang w:val="en-CA"/>
        </w:rPr>
        <w:t xml:space="preserve">a derivatives dealer whose head office </w:t>
      </w:r>
      <w:r>
        <w:rPr>
          <w:bCs/>
          <w:sz w:val="22"/>
          <w:lang w:val="en-CA"/>
        </w:rPr>
        <w:t>o</w:t>
      </w:r>
      <w:r w:rsidRPr="00CE6403">
        <w:rPr>
          <w:bCs/>
          <w:sz w:val="22"/>
          <w:lang w:val="en-CA"/>
        </w:rPr>
        <w:t>r principal place of business is in Canada.</w:t>
      </w:r>
    </w:p>
    <w:p w14:paraId="6E98ABAE" w14:textId="77777777" w:rsidR="00FE6C6E" w:rsidRPr="007D4E7F" w:rsidRDefault="00201EFA" w:rsidP="00FE6C6E">
      <w:pPr>
        <w:spacing w:line="240" w:lineRule="auto"/>
        <w:ind w:right="187"/>
        <w:jc w:val="center"/>
        <w:rPr>
          <w:b/>
          <w:sz w:val="22"/>
        </w:rPr>
      </w:pPr>
      <w:r w:rsidRPr="007D4E7F">
        <w:rPr>
          <w:rFonts w:eastAsia="Times New Roman"/>
          <w:b/>
          <w:sz w:val="22"/>
        </w:rPr>
        <w:t>___________________________________________</w:t>
      </w:r>
    </w:p>
    <w:p w14:paraId="71FF2513" w14:textId="77777777" w:rsidR="00FE6C6E" w:rsidRPr="007D4E7F" w:rsidRDefault="00FE6C6E" w:rsidP="00FE6C6E">
      <w:pPr>
        <w:pStyle w:val="ListParagraph"/>
        <w:spacing w:line="240" w:lineRule="auto"/>
        <w:ind w:right="187"/>
        <w:jc w:val="both"/>
        <w:rPr>
          <w:bCs/>
          <w:sz w:val="22"/>
          <w:lang w:val="en-CA"/>
        </w:rPr>
      </w:pPr>
    </w:p>
    <w:p w14:paraId="643E3546" w14:textId="77777777" w:rsidR="00FE6C6E" w:rsidRPr="007D4E7F" w:rsidRDefault="00FE6C6E" w:rsidP="00FE6C6E">
      <w:pPr>
        <w:pStyle w:val="ListParagraph"/>
        <w:spacing w:line="240" w:lineRule="auto"/>
        <w:ind w:right="187"/>
        <w:jc w:val="both"/>
      </w:pPr>
    </w:p>
    <w:p w14:paraId="418EA382" w14:textId="77777777" w:rsidR="00FE6C6E" w:rsidRPr="007D4E7F" w:rsidRDefault="00FE6C6E" w:rsidP="00FE6C6E">
      <w:pPr>
        <w:keepNext/>
        <w:spacing w:line="240" w:lineRule="auto"/>
        <w:ind w:left="720" w:right="187" w:hanging="720"/>
        <w:jc w:val="both"/>
        <w:sectPr w:rsidR="00FE6C6E" w:rsidRPr="007D4E7F" w:rsidSect="00FE6C6E">
          <w:headerReference w:type="default" r:id="rId14"/>
          <w:footerReference w:type="default" r:id="rId15"/>
          <w:footerReference w:type="first" r:id="rId16"/>
          <w:pgSz w:w="12240" w:h="15840" w:code="1"/>
          <w:pgMar w:top="720" w:right="1170" w:bottom="720" w:left="720" w:header="706" w:footer="706" w:gutter="0"/>
          <w:cols w:space="720"/>
          <w:titlePg/>
          <w:docGrid w:linePitch="360"/>
        </w:sectPr>
      </w:pPr>
    </w:p>
    <w:p w14:paraId="18238D58" w14:textId="77777777" w:rsidR="00FE6C6E" w:rsidRPr="007D4E7F" w:rsidRDefault="00FE6C6E" w:rsidP="00FE6C6E">
      <w:pPr>
        <w:keepNext/>
        <w:spacing w:line="240" w:lineRule="auto"/>
        <w:ind w:left="720" w:right="187" w:hanging="720"/>
        <w:jc w:val="both"/>
      </w:pPr>
    </w:p>
    <w:p w14:paraId="26F217A7" w14:textId="77777777" w:rsidR="00FE6C6E" w:rsidRPr="007D4E7F" w:rsidRDefault="00201EFA" w:rsidP="00FE6C6E">
      <w:pPr>
        <w:spacing w:after="0" w:line="240" w:lineRule="auto"/>
        <w:jc w:val="center"/>
        <w:rPr>
          <w:rFonts w:eastAsia="SimSun"/>
          <w:b/>
          <w:sz w:val="22"/>
          <w:u w:val="single"/>
        </w:rPr>
      </w:pPr>
      <w:r w:rsidRPr="007D4E7F">
        <w:rPr>
          <w:rFonts w:eastAsia="SimSun"/>
          <w:b/>
          <w:sz w:val="22"/>
        </w:rPr>
        <w:t>Appendix</w:t>
      </w:r>
      <w:r w:rsidRPr="007D4E7F">
        <w:rPr>
          <w:rFonts w:eastAsia="SimSun"/>
          <w:b/>
          <w:sz w:val="22"/>
        </w:rPr>
        <w:br/>
      </w:r>
      <w:r w:rsidRPr="007D4E7F">
        <w:rPr>
          <w:rFonts w:eastAsia="SimSun"/>
          <w:b/>
          <w:sz w:val="22"/>
          <w:u w:val="single"/>
        </w:rPr>
        <w:br/>
        <w:t>Definitions</w:t>
      </w:r>
    </w:p>
    <w:p w14:paraId="30821B5D" w14:textId="77777777" w:rsidR="00FE6C6E" w:rsidRPr="007D4E7F" w:rsidRDefault="00201EFA" w:rsidP="00FE6C6E">
      <w:pPr>
        <w:pStyle w:val="BodyText"/>
        <w:spacing w:before="100" w:beforeAutospacing="1" w:after="120" w:line="240" w:lineRule="exact"/>
        <w:ind w:right="187" w:firstLine="0"/>
        <w:jc w:val="both"/>
        <w:rPr>
          <w:b/>
          <w:sz w:val="22"/>
          <w:lang w:val="en-CA"/>
        </w:rPr>
      </w:pPr>
      <w:r w:rsidRPr="007D4E7F">
        <w:rPr>
          <w:bCs/>
          <w:sz w:val="22"/>
          <w:szCs w:val="20"/>
        </w:rPr>
        <w:t>“</w:t>
      </w:r>
      <w:r w:rsidRPr="007D4E7F">
        <w:rPr>
          <w:b/>
          <w:sz w:val="22"/>
          <w:szCs w:val="20"/>
        </w:rPr>
        <w:t>Additional Requirements</w:t>
      </w:r>
      <w:r w:rsidRPr="007D4E7F">
        <w:rPr>
          <w:bCs/>
          <w:sz w:val="22"/>
          <w:szCs w:val="20"/>
        </w:rPr>
        <w:t>”</w:t>
      </w:r>
      <w:r w:rsidRPr="007D4E7F">
        <w:rPr>
          <w:b/>
          <w:sz w:val="22"/>
          <w:szCs w:val="20"/>
        </w:rPr>
        <w:t xml:space="preserve"> </w:t>
      </w:r>
      <w:r w:rsidRPr="007D4E7F">
        <w:rPr>
          <w:bCs/>
          <w:sz w:val="22"/>
          <w:szCs w:val="20"/>
        </w:rPr>
        <w:t>means all the obligations under the following sections of the Business Conduct Rule</w:t>
      </w:r>
      <w:r w:rsidRPr="007D4E7F">
        <w:rPr>
          <w:bCs/>
          <w:sz w:val="22"/>
        </w:rPr>
        <w:t>: Section 14 [</w:t>
      </w:r>
      <w:r w:rsidRPr="007D4E7F">
        <w:rPr>
          <w:bCs/>
          <w:i/>
          <w:iCs/>
          <w:sz w:val="22"/>
        </w:rPr>
        <w:t>Derivatives-party-specific needs and objectives</w:t>
      </w:r>
      <w:r w:rsidRPr="007D4E7F">
        <w:rPr>
          <w:bCs/>
          <w:sz w:val="22"/>
        </w:rPr>
        <w:t>], Section 15 [</w:t>
      </w:r>
      <w:r w:rsidRPr="007D4E7F">
        <w:rPr>
          <w:bCs/>
          <w:i/>
          <w:iCs/>
          <w:sz w:val="22"/>
        </w:rPr>
        <w:t>Suitability</w:t>
      </w:r>
      <w:r w:rsidRPr="007D4E7F">
        <w:rPr>
          <w:bCs/>
          <w:sz w:val="22"/>
        </w:rPr>
        <w:t>], Section 16 [</w:t>
      </w:r>
      <w:r w:rsidRPr="007D4E7F">
        <w:rPr>
          <w:bCs/>
          <w:i/>
          <w:iCs/>
          <w:sz w:val="22"/>
        </w:rPr>
        <w:t>Permitted referral arrangements</w:t>
      </w:r>
      <w:r w:rsidRPr="007D4E7F">
        <w:rPr>
          <w:bCs/>
          <w:sz w:val="22"/>
        </w:rPr>
        <w:t>], Section 17 [</w:t>
      </w:r>
      <w:r w:rsidRPr="007D4E7F">
        <w:rPr>
          <w:bCs/>
          <w:i/>
          <w:iCs/>
          <w:sz w:val="22"/>
        </w:rPr>
        <w:t>Verifying the qualifications of the person or company receiving the referral</w:t>
      </w:r>
      <w:r w:rsidRPr="007D4E7F">
        <w:rPr>
          <w:bCs/>
          <w:sz w:val="22"/>
        </w:rPr>
        <w:t>], Section 18 [</w:t>
      </w:r>
      <w:r w:rsidRPr="00E64822">
        <w:rPr>
          <w:bCs/>
          <w:i/>
          <w:sz w:val="22"/>
        </w:rPr>
        <w:t>Disclosing referral arrangements to a derivatives party</w:t>
      </w:r>
      <w:r w:rsidRPr="007D4E7F">
        <w:rPr>
          <w:bCs/>
          <w:sz w:val="22"/>
        </w:rPr>
        <w:t>], Section 19 [</w:t>
      </w:r>
      <w:r w:rsidRPr="007D4E7F">
        <w:rPr>
          <w:bCs/>
          <w:i/>
          <w:iCs/>
          <w:sz w:val="22"/>
        </w:rPr>
        <w:t>Relationship disclosure information</w:t>
      </w:r>
      <w:r w:rsidRPr="007D4E7F">
        <w:rPr>
          <w:bCs/>
          <w:sz w:val="22"/>
        </w:rPr>
        <w:t>], Section 20 [</w:t>
      </w:r>
      <w:r w:rsidRPr="007D4E7F">
        <w:rPr>
          <w:bCs/>
          <w:i/>
          <w:iCs/>
          <w:sz w:val="22"/>
        </w:rPr>
        <w:t>Pre-transaction disclosure</w:t>
      </w:r>
      <w:r w:rsidRPr="007D4E7F">
        <w:rPr>
          <w:bCs/>
          <w:sz w:val="22"/>
        </w:rPr>
        <w:t>], Section 21 [</w:t>
      </w:r>
      <w:r w:rsidRPr="007D4E7F">
        <w:rPr>
          <w:bCs/>
          <w:i/>
          <w:iCs/>
          <w:sz w:val="22"/>
        </w:rPr>
        <w:t>Valuation reporting</w:t>
      </w:r>
      <w:r w:rsidRPr="007D4E7F">
        <w:rPr>
          <w:bCs/>
          <w:sz w:val="22"/>
        </w:rPr>
        <w:t>], Section 22 [</w:t>
      </w:r>
      <w:r w:rsidRPr="007D4E7F">
        <w:rPr>
          <w:bCs/>
          <w:i/>
          <w:iCs/>
          <w:sz w:val="22"/>
        </w:rPr>
        <w:t>Notice to derivatives parties by non-resident derivatives dealers</w:t>
      </w:r>
      <w:r w:rsidRPr="007D4E7F">
        <w:rPr>
          <w:bCs/>
          <w:sz w:val="22"/>
        </w:rPr>
        <w:t>], Section 26 [</w:t>
      </w:r>
      <w:r w:rsidRPr="007D4E7F">
        <w:rPr>
          <w:bCs/>
          <w:i/>
          <w:iCs/>
          <w:sz w:val="22"/>
        </w:rPr>
        <w:t>Holding initial margin</w:t>
      </w:r>
      <w:r w:rsidRPr="007D4E7F">
        <w:rPr>
          <w:bCs/>
          <w:sz w:val="22"/>
        </w:rPr>
        <w:t>], Section 27 [</w:t>
      </w:r>
      <w:r w:rsidRPr="007D4E7F">
        <w:rPr>
          <w:bCs/>
          <w:i/>
          <w:iCs/>
          <w:sz w:val="22"/>
        </w:rPr>
        <w:t>Investment or use of initial margin</w:t>
      </w:r>
      <w:r w:rsidRPr="007D4E7F">
        <w:rPr>
          <w:bCs/>
          <w:sz w:val="22"/>
        </w:rPr>
        <w:t>]</w:t>
      </w:r>
      <w:r>
        <w:rPr>
          <w:bCs/>
          <w:sz w:val="22"/>
        </w:rPr>
        <w:t xml:space="preserve"> </w:t>
      </w:r>
      <w:r w:rsidRPr="007D4E7F">
        <w:rPr>
          <w:bCs/>
          <w:sz w:val="22"/>
        </w:rPr>
        <w:t>and Section 29 [</w:t>
      </w:r>
      <w:r w:rsidRPr="007D4E7F">
        <w:rPr>
          <w:bCs/>
          <w:i/>
          <w:iCs/>
          <w:sz w:val="22"/>
        </w:rPr>
        <w:t>Derivatives party statements</w:t>
      </w:r>
      <w:r w:rsidRPr="007D4E7F">
        <w:rPr>
          <w:bCs/>
          <w:sz w:val="22"/>
        </w:rPr>
        <w:t>].</w:t>
      </w:r>
    </w:p>
    <w:p w14:paraId="0A609362" w14:textId="77777777" w:rsidR="00FE6C6E" w:rsidRPr="007D4E7F" w:rsidRDefault="00201EFA" w:rsidP="00FE6C6E">
      <w:pPr>
        <w:pStyle w:val="BodyText"/>
        <w:spacing w:before="100" w:beforeAutospacing="1" w:after="120" w:line="240" w:lineRule="exact"/>
        <w:ind w:right="187" w:firstLine="0"/>
        <w:jc w:val="both"/>
        <w:rPr>
          <w:b/>
          <w:sz w:val="22"/>
          <w:szCs w:val="20"/>
          <w:lang w:val="en-CA"/>
        </w:rPr>
      </w:pPr>
      <w:r w:rsidRPr="007D4E7F">
        <w:rPr>
          <w:bCs/>
          <w:sz w:val="22"/>
          <w:szCs w:val="20"/>
          <w:lang w:val="en-CA"/>
        </w:rPr>
        <w:t>“</w:t>
      </w:r>
      <w:r w:rsidRPr="007D4E7F">
        <w:rPr>
          <w:b/>
          <w:sz w:val="22"/>
          <w:szCs w:val="20"/>
          <w:lang w:val="en-CA"/>
        </w:rPr>
        <w:t>adviser</w:t>
      </w:r>
      <w:r w:rsidRPr="007D4E7F">
        <w:rPr>
          <w:bCs/>
          <w:sz w:val="22"/>
          <w:szCs w:val="20"/>
          <w:lang w:val="en-CA"/>
        </w:rPr>
        <w:t>”</w:t>
      </w:r>
      <w:r w:rsidRPr="007D4E7F">
        <w:rPr>
          <w:b/>
          <w:sz w:val="22"/>
          <w:szCs w:val="20"/>
          <w:lang w:val="en-CA"/>
        </w:rPr>
        <w:t xml:space="preserve"> </w:t>
      </w:r>
      <w:r w:rsidRPr="007D4E7F">
        <w:rPr>
          <w:bCs/>
          <w:sz w:val="22"/>
          <w:szCs w:val="20"/>
          <w:lang w:val="en-CA"/>
        </w:rPr>
        <w:t xml:space="preserve">means an adviser as defined in the securities or derivatives legislation, rules or regulations of a relevant Canadian jurisdiction and, for purposes of the Business Conduct Rule and this letter, includes an “adviser” as defined in </w:t>
      </w:r>
      <w:r w:rsidRPr="007D4E7F">
        <w:rPr>
          <w:bCs/>
          <w:i/>
          <w:iCs/>
          <w:sz w:val="22"/>
          <w:szCs w:val="20"/>
          <w:lang w:val="en-CA"/>
        </w:rPr>
        <w:t>The Commodity Futures Act</w:t>
      </w:r>
      <w:r w:rsidRPr="007D4E7F">
        <w:rPr>
          <w:bCs/>
          <w:sz w:val="22"/>
          <w:szCs w:val="20"/>
          <w:lang w:val="en-CA"/>
        </w:rPr>
        <w:t xml:space="preserve"> (Manitoba), the </w:t>
      </w:r>
      <w:r w:rsidRPr="007D4E7F">
        <w:rPr>
          <w:bCs/>
          <w:i/>
          <w:iCs/>
          <w:sz w:val="22"/>
          <w:szCs w:val="20"/>
          <w:lang w:val="en-CA"/>
        </w:rPr>
        <w:t>Commodity Futures Act</w:t>
      </w:r>
      <w:r w:rsidRPr="007D4E7F">
        <w:rPr>
          <w:bCs/>
          <w:sz w:val="22"/>
          <w:szCs w:val="20"/>
          <w:lang w:val="en-CA"/>
        </w:rPr>
        <w:t xml:space="preserve"> (Ontario) and the </w:t>
      </w:r>
      <w:r w:rsidRPr="007D4E7F">
        <w:rPr>
          <w:bCs/>
          <w:i/>
          <w:iCs/>
          <w:sz w:val="22"/>
          <w:szCs w:val="20"/>
          <w:lang w:val="en-CA"/>
        </w:rPr>
        <w:t>Securities Act</w:t>
      </w:r>
      <w:r w:rsidRPr="007D4E7F">
        <w:rPr>
          <w:bCs/>
          <w:sz w:val="22"/>
          <w:szCs w:val="20"/>
          <w:lang w:val="en-CA"/>
        </w:rPr>
        <w:t xml:space="preserve"> (Québec).</w:t>
      </w:r>
      <w:r>
        <w:rPr>
          <w:rStyle w:val="FootnoteReference"/>
          <w:bCs/>
          <w:sz w:val="22"/>
          <w:szCs w:val="20"/>
          <w:lang w:val="en-CA"/>
        </w:rPr>
        <w:footnoteReference w:id="14"/>
      </w:r>
    </w:p>
    <w:p w14:paraId="3602CCDA" w14:textId="77777777" w:rsidR="00FE6C6E" w:rsidRPr="007D4E7F" w:rsidRDefault="00201EFA" w:rsidP="00FE6C6E">
      <w:pPr>
        <w:spacing w:after="0" w:line="240" w:lineRule="auto"/>
        <w:ind w:right="187"/>
        <w:jc w:val="both"/>
        <w:rPr>
          <w:sz w:val="22"/>
          <w:szCs w:val="20"/>
          <w:lang w:val="en-CA"/>
        </w:rPr>
      </w:pPr>
      <w:r w:rsidRPr="007D4E7F">
        <w:rPr>
          <w:bCs/>
          <w:sz w:val="22"/>
          <w:szCs w:val="20"/>
          <w:lang w:val="en-CA"/>
        </w:rPr>
        <w:t>“</w:t>
      </w:r>
      <w:r w:rsidRPr="007D4E7F">
        <w:rPr>
          <w:b/>
          <w:sz w:val="22"/>
          <w:szCs w:val="20"/>
          <w:lang w:val="en-CA"/>
        </w:rPr>
        <w:t>Business Conduct Rule</w:t>
      </w:r>
      <w:r w:rsidRPr="007D4E7F">
        <w:rPr>
          <w:bCs/>
          <w:sz w:val="22"/>
          <w:szCs w:val="20"/>
          <w:lang w:val="en-CA"/>
        </w:rPr>
        <w:t>”</w:t>
      </w:r>
      <w:r w:rsidRPr="007D4E7F">
        <w:rPr>
          <w:b/>
          <w:sz w:val="22"/>
          <w:szCs w:val="20"/>
          <w:lang w:val="en-CA"/>
        </w:rPr>
        <w:t xml:space="preserve"> </w:t>
      </w:r>
      <w:r w:rsidRPr="007D4E7F">
        <w:rPr>
          <w:sz w:val="22"/>
          <w:szCs w:val="20"/>
          <w:lang w:val="en-CA"/>
        </w:rPr>
        <w:t xml:space="preserve">means </w:t>
      </w:r>
      <w:r>
        <w:rPr>
          <w:rFonts w:eastAsia="Times New Roman"/>
          <w:sz w:val="22"/>
        </w:rPr>
        <w:t xml:space="preserve">MI 93-101 </w:t>
      </w:r>
      <w:r w:rsidRPr="007D4E7F">
        <w:rPr>
          <w:sz w:val="22"/>
          <w:szCs w:val="20"/>
        </w:rPr>
        <w:t xml:space="preserve">and </w:t>
      </w:r>
      <w:r>
        <w:rPr>
          <w:rFonts w:eastAsia="Times New Roman"/>
          <w:sz w:val="22"/>
        </w:rPr>
        <w:t xml:space="preserve">the national instrument that succeeds MI 93-101 following the adoption of a substantially similar rule to MI 93-101 by the </w:t>
      </w:r>
      <w:r w:rsidRPr="007D4E7F">
        <w:rPr>
          <w:rFonts w:eastAsia="Times New Roman"/>
          <w:sz w:val="22"/>
        </w:rPr>
        <w:t>British Columbia Securities Commission</w:t>
      </w:r>
      <w:r>
        <w:rPr>
          <w:rFonts w:eastAsia="Times New Roman"/>
          <w:sz w:val="22"/>
        </w:rPr>
        <w:t>.</w:t>
      </w:r>
      <w:r w:rsidRPr="007D4E7F">
        <w:rPr>
          <w:sz w:val="22"/>
          <w:szCs w:val="20"/>
          <w:lang w:val="en-CA"/>
        </w:rPr>
        <w:t xml:space="preserve"> </w:t>
      </w:r>
    </w:p>
    <w:p w14:paraId="24798E28" w14:textId="77777777" w:rsidR="00FE6C6E" w:rsidRPr="007D4E7F" w:rsidRDefault="00201EFA" w:rsidP="00FE6C6E">
      <w:pPr>
        <w:pStyle w:val="BodyText"/>
        <w:spacing w:before="100" w:beforeAutospacing="1" w:after="120" w:line="240" w:lineRule="exact"/>
        <w:ind w:right="187" w:firstLine="0"/>
        <w:jc w:val="both"/>
        <w:rPr>
          <w:bCs/>
          <w:sz w:val="22"/>
          <w:szCs w:val="20"/>
        </w:rPr>
      </w:pPr>
      <w:r w:rsidRPr="007D4E7F">
        <w:rPr>
          <w:bCs/>
          <w:sz w:val="22"/>
          <w:szCs w:val="20"/>
        </w:rPr>
        <w:t>“</w:t>
      </w:r>
      <w:r w:rsidRPr="007D4E7F">
        <w:rPr>
          <w:b/>
          <w:sz w:val="22"/>
          <w:szCs w:val="20"/>
        </w:rPr>
        <w:t>Canadian financial institution</w:t>
      </w:r>
      <w:r w:rsidRPr="007D4E7F">
        <w:rPr>
          <w:bCs/>
          <w:sz w:val="22"/>
          <w:szCs w:val="20"/>
        </w:rPr>
        <w:t>” means:</w:t>
      </w:r>
    </w:p>
    <w:p w14:paraId="664F4888" w14:textId="77777777" w:rsidR="00FE6C6E" w:rsidRPr="007D4E7F" w:rsidRDefault="00201EFA" w:rsidP="00FE6C6E">
      <w:pPr>
        <w:pStyle w:val="BodyText"/>
        <w:spacing w:before="100" w:beforeAutospacing="1" w:after="120" w:line="240" w:lineRule="exact"/>
        <w:ind w:right="187"/>
        <w:jc w:val="both"/>
        <w:rPr>
          <w:bCs/>
          <w:sz w:val="22"/>
          <w:szCs w:val="20"/>
        </w:rPr>
      </w:pPr>
      <w:r w:rsidRPr="007D4E7F">
        <w:rPr>
          <w:bCs/>
          <w:sz w:val="22"/>
          <w:szCs w:val="20"/>
        </w:rPr>
        <w:t>(a) a bank listed in Schedule I or II to the </w:t>
      </w:r>
      <w:r w:rsidRPr="007D4E7F">
        <w:rPr>
          <w:bCs/>
          <w:i/>
          <w:iCs/>
          <w:sz w:val="22"/>
          <w:szCs w:val="20"/>
        </w:rPr>
        <w:t>Bank Act</w:t>
      </w:r>
      <w:r w:rsidRPr="007D4E7F">
        <w:rPr>
          <w:bCs/>
          <w:sz w:val="22"/>
          <w:szCs w:val="20"/>
        </w:rPr>
        <w:t> (Canada),</w:t>
      </w:r>
    </w:p>
    <w:p w14:paraId="0A9E657F" w14:textId="77777777" w:rsidR="00FE6C6E" w:rsidRPr="007D4E7F" w:rsidRDefault="00201EFA" w:rsidP="00FE6C6E">
      <w:pPr>
        <w:pStyle w:val="BodyText"/>
        <w:spacing w:before="100" w:beforeAutospacing="1" w:after="120" w:line="240" w:lineRule="exact"/>
        <w:ind w:left="720" w:right="187" w:firstLine="0"/>
        <w:jc w:val="both"/>
        <w:rPr>
          <w:bCs/>
          <w:sz w:val="22"/>
          <w:szCs w:val="20"/>
        </w:rPr>
      </w:pPr>
      <w:r w:rsidRPr="007D4E7F">
        <w:rPr>
          <w:bCs/>
          <w:sz w:val="22"/>
          <w:szCs w:val="20"/>
        </w:rPr>
        <w:t>(b) a body corporate, as defined in the </w:t>
      </w:r>
      <w:r w:rsidRPr="007D4E7F">
        <w:rPr>
          <w:bCs/>
          <w:i/>
          <w:iCs/>
          <w:sz w:val="22"/>
          <w:szCs w:val="20"/>
        </w:rPr>
        <w:t>Trust and Loan Companies Act</w:t>
      </w:r>
      <w:r w:rsidRPr="007D4E7F">
        <w:rPr>
          <w:bCs/>
          <w:sz w:val="22"/>
          <w:szCs w:val="20"/>
        </w:rPr>
        <w:t> (Canada) and to which that Act applies,</w:t>
      </w:r>
    </w:p>
    <w:p w14:paraId="79A875AD" w14:textId="77777777" w:rsidR="00FE6C6E" w:rsidRPr="007D4E7F" w:rsidRDefault="00201EFA" w:rsidP="00FE6C6E">
      <w:pPr>
        <w:pStyle w:val="BodyText"/>
        <w:spacing w:before="100" w:beforeAutospacing="1" w:after="120" w:line="240" w:lineRule="exact"/>
        <w:ind w:left="720" w:right="187" w:firstLine="0"/>
        <w:jc w:val="both"/>
        <w:rPr>
          <w:bCs/>
          <w:sz w:val="22"/>
          <w:szCs w:val="20"/>
        </w:rPr>
      </w:pPr>
      <w:r w:rsidRPr="007D4E7F">
        <w:rPr>
          <w:bCs/>
          <w:sz w:val="22"/>
          <w:szCs w:val="20"/>
        </w:rPr>
        <w:t>(c) an association, as defined in the </w:t>
      </w:r>
      <w:r w:rsidRPr="007D4E7F">
        <w:rPr>
          <w:bCs/>
          <w:i/>
          <w:iCs/>
          <w:sz w:val="22"/>
          <w:szCs w:val="20"/>
        </w:rPr>
        <w:t>Cooperative Credit Associations Act</w:t>
      </w:r>
      <w:r w:rsidRPr="007D4E7F">
        <w:rPr>
          <w:bCs/>
          <w:sz w:val="22"/>
          <w:szCs w:val="20"/>
        </w:rPr>
        <w:t> (Canada) and to which that Act applies,</w:t>
      </w:r>
    </w:p>
    <w:p w14:paraId="4EB7650F" w14:textId="77777777" w:rsidR="00FE6C6E" w:rsidRPr="007D4E7F" w:rsidRDefault="00201EFA" w:rsidP="00FE6C6E">
      <w:pPr>
        <w:pStyle w:val="BodyText"/>
        <w:spacing w:before="100" w:beforeAutospacing="1" w:after="120" w:line="240" w:lineRule="exact"/>
        <w:ind w:left="720" w:right="187" w:firstLine="0"/>
        <w:jc w:val="both"/>
        <w:rPr>
          <w:bCs/>
          <w:sz w:val="22"/>
          <w:szCs w:val="20"/>
        </w:rPr>
      </w:pPr>
      <w:r w:rsidRPr="007D4E7F">
        <w:rPr>
          <w:bCs/>
          <w:sz w:val="22"/>
          <w:szCs w:val="20"/>
        </w:rPr>
        <w:t>(d) an insurance company or a fraternal benefit society incorporated or formed under the </w:t>
      </w:r>
      <w:r w:rsidRPr="007D4E7F">
        <w:rPr>
          <w:bCs/>
          <w:i/>
          <w:iCs/>
          <w:sz w:val="22"/>
          <w:szCs w:val="20"/>
        </w:rPr>
        <w:t>Insurance Companies Act</w:t>
      </w:r>
      <w:r w:rsidRPr="007D4E7F">
        <w:rPr>
          <w:bCs/>
          <w:sz w:val="22"/>
          <w:szCs w:val="20"/>
        </w:rPr>
        <w:t> (Canada),</w:t>
      </w:r>
    </w:p>
    <w:p w14:paraId="6CACC9FC" w14:textId="77777777" w:rsidR="00FE6C6E" w:rsidRPr="007D4E7F" w:rsidRDefault="00201EFA" w:rsidP="00FE6C6E">
      <w:pPr>
        <w:pStyle w:val="BodyText"/>
        <w:spacing w:before="100" w:beforeAutospacing="1" w:after="120" w:line="240" w:lineRule="exact"/>
        <w:ind w:left="720" w:right="187" w:firstLine="0"/>
        <w:jc w:val="both"/>
        <w:rPr>
          <w:bCs/>
          <w:sz w:val="22"/>
          <w:szCs w:val="20"/>
        </w:rPr>
      </w:pPr>
      <w:r w:rsidRPr="007D4E7F">
        <w:rPr>
          <w:bCs/>
          <w:sz w:val="22"/>
          <w:szCs w:val="20"/>
        </w:rPr>
        <w:t>(e) a trust, loan or insurance corporation authorized to carry on business by or under an Act of the legislature of a jurisdiction of Canada,</w:t>
      </w:r>
    </w:p>
    <w:p w14:paraId="3BCDCB13" w14:textId="77777777" w:rsidR="00FE6C6E" w:rsidRPr="007D4E7F" w:rsidRDefault="00201EFA" w:rsidP="00FE6C6E">
      <w:pPr>
        <w:pStyle w:val="BodyText"/>
        <w:spacing w:before="100" w:beforeAutospacing="1" w:after="120" w:line="240" w:lineRule="exact"/>
        <w:ind w:left="720" w:right="187" w:firstLine="0"/>
        <w:jc w:val="both"/>
        <w:rPr>
          <w:bCs/>
          <w:sz w:val="22"/>
          <w:szCs w:val="20"/>
        </w:rPr>
      </w:pPr>
      <w:r w:rsidRPr="007D4E7F">
        <w:rPr>
          <w:bCs/>
          <w:sz w:val="22"/>
          <w:szCs w:val="20"/>
        </w:rPr>
        <w:t xml:space="preserve">(f) a credit union, central credit union, </w:t>
      </w:r>
      <w:proofErr w:type="spellStart"/>
      <w:r w:rsidRPr="007D4E7F">
        <w:rPr>
          <w:bCs/>
          <w:sz w:val="22"/>
          <w:szCs w:val="20"/>
        </w:rPr>
        <w:t>caisse</w:t>
      </w:r>
      <w:proofErr w:type="spellEnd"/>
      <w:r w:rsidRPr="007D4E7F">
        <w:rPr>
          <w:bCs/>
          <w:sz w:val="22"/>
          <w:szCs w:val="20"/>
        </w:rPr>
        <w:t xml:space="preserve"> </w:t>
      </w:r>
      <w:proofErr w:type="spellStart"/>
      <w:r w:rsidRPr="007D4E7F">
        <w:rPr>
          <w:bCs/>
          <w:sz w:val="22"/>
          <w:szCs w:val="20"/>
        </w:rPr>
        <w:t>populaire</w:t>
      </w:r>
      <w:proofErr w:type="spellEnd"/>
      <w:r w:rsidRPr="007D4E7F">
        <w:rPr>
          <w:bCs/>
          <w:sz w:val="22"/>
          <w:szCs w:val="20"/>
        </w:rPr>
        <w:t>, financial services cooperative or credit union league or federation that is incorporated or otherwise authorized to carry on business by or under an Act of the legislature of a jurisdiction of Canada, or</w:t>
      </w:r>
    </w:p>
    <w:p w14:paraId="60F45B90" w14:textId="77777777" w:rsidR="00FE6C6E" w:rsidRPr="007D4E7F" w:rsidRDefault="00201EFA" w:rsidP="00FE6C6E">
      <w:pPr>
        <w:pStyle w:val="BodyText"/>
        <w:spacing w:before="100" w:beforeAutospacing="1" w:after="120" w:line="240" w:lineRule="exact"/>
        <w:ind w:left="720" w:right="187" w:firstLine="0"/>
        <w:jc w:val="both"/>
        <w:rPr>
          <w:bCs/>
          <w:sz w:val="22"/>
          <w:szCs w:val="20"/>
        </w:rPr>
      </w:pPr>
      <w:r w:rsidRPr="007D4E7F">
        <w:rPr>
          <w:bCs/>
          <w:sz w:val="22"/>
          <w:szCs w:val="20"/>
        </w:rPr>
        <w:t>(g) a treasury branch established by or under an Act of the legislature of a jurisdiction of Canada.</w:t>
      </w:r>
    </w:p>
    <w:p w14:paraId="19697DFA" w14:textId="77777777" w:rsidR="00FE6C6E" w:rsidRPr="007D4E7F" w:rsidRDefault="00201EFA" w:rsidP="00FE6C6E">
      <w:pPr>
        <w:pStyle w:val="BodyText"/>
        <w:spacing w:before="100" w:beforeAutospacing="1" w:after="100" w:afterAutospacing="1" w:line="240" w:lineRule="auto"/>
        <w:ind w:right="187" w:firstLine="0"/>
        <w:jc w:val="both"/>
        <w:rPr>
          <w:sz w:val="22"/>
          <w:szCs w:val="20"/>
        </w:rPr>
      </w:pPr>
      <w:r w:rsidRPr="007D4E7F">
        <w:rPr>
          <w:bCs/>
          <w:sz w:val="22"/>
          <w:szCs w:val="20"/>
        </w:rPr>
        <w:t>“</w:t>
      </w:r>
      <w:r w:rsidRPr="007D4E7F">
        <w:rPr>
          <w:b/>
          <w:sz w:val="22"/>
          <w:szCs w:val="20"/>
        </w:rPr>
        <w:t>Canadian Regulator</w:t>
      </w:r>
      <w:r w:rsidRPr="007D4E7F">
        <w:rPr>
          <w:bCs/>
          <w:sz w:val="22"/>
          <w:szCs w:val="20"/>
        </w:rPr>
        <w:t>”</w:t>
      </w:r>
      <w:r w:rsidRPr="007D4E7F">
        <w:rPr>
          <w:sz w:val="22"/>
          <w:szCs w:val="20"/>
        </w:rPr>
        <w:t xml:space="preserve"> means a Canadian provincial</w:t>
      </w:r>
      <w:r>
        <w:rPr>
          <w:sz w:val="22"/>
          <w:szCs w:val="20"/>
        </w:rPr>
        <w:t xml:space="preserve"> or</w:t>
      </w:r>
      <w:r w:rsidRPr="007D4E7F">
        <w:rPr>
          <w:sz w:val="22"/>
          <w:szCs w:val="20"/>
        </w:rPr>
        <w:t xml:space="preserve"> territorial regulatory authority, body or agency with jurisdiction to regulate derivatives activities or to regulate persons with respect to their derivatives activities. </w:t>
      </w:r>
    </w:p>
    <w:p w14:paraId="7F12B16A" w14:textId="77777777" w:rsidR="00FE6C6E" w:rsidRPr="007D4E7F" w:rsidRDefault="00201EFA" w:rsidP="00FE6C6E">
      <w:pPr>
        <w:pStyle w:val="BodyText"/>
        <w:spacing w:before="100" w:beforeAutospacing="1" w:after="100" w:afterAutospacing="1" w:line="240" w:lineRule="auto"/>
        <w:ind w:right="187" w:firstLine="0"/>
        <w:jc w:val="both"/>
        <w:rPr>
          <w:bCs/>
          <w:sz w:val="22"/>
          <w:szCs w:val="20"/>
          <w:lang w:val="en-CA"/>
        </w:rPr>
      </w:pPr>
      <w:r w:rsidRPr="007D4E7F">
        <w:rPr>
          <w:bCs/>
          <w:sz w:val="22"/>
          <w:szCs w:val="20"/>
        </w:rPr>
        <w:t>“</w:t>
      </w:r>
      <w:r w:rsidRPr="007D4E7F">
        <w:rPr>
          <w:b/>
          <w:sz w:val="22"/>
          <w:szCs w:val="20"/>
          <w:lang w:val="en-CA"/>
        </w:rPr>
        <w:t>Commercial Hedger</w:t>
      </w:r>
      <w:r w:rsidRPr="007D4E7F">
        <w:rPr>
          <w:bCs/>
          <w:sz w:val="22"/>
          <w:szCs w:val="20"/>
          <w:lang w:val="en-CA"/>
        </w:rPr>
        <w:t>” means a person or company that carries on a business and that transacts a derivative to hedge a risk in respect of the business, related to any of the following:</w:t>
      </w:r>
    </w:p>
    <w:p w14:paraId="0B2D284C" w14:textId="77777777" w:rsidR="00FE6C6E" w:rsidRPr="007D4E7F" w:rsidRDefault="00201EFA" w:rsidP="00FE6C6E">
      <w:pPr>
        <w:pStyle w:val="BodyText"/>
        <w:spacing w:before="100" w:beforeAutospacing="1" w:after="120" w:line="240" w:lineRule="exact"/>
        <w:ind w:left="720" w:right="187" w:firstLine="0"/>
        <w:jc w:val="both"/>
        <w:rPr>
          <w:bCs/>
          <w:sz w:val="22"/>
          <w:szCs w:val="20"/>
        </w:rPr>
      </w:pPr>
      <w:r w:rsidRPr="007D4E7F">
        <w:rPr>
          <w:bCs/>
          <w:sz w:val="22"/>
          <w:szCs w:val="20"/>
          <w:lang w:val="en-CA"/>
        </w:rPr>
        <w:t xml:space="preserve">(a) </w:t>
      </w:r>
      <w:r w:rsidRPr="007D4E7F">
        <w:rPr>
          <w:bCs/>
          <w:sz w:val="22"/>
          <w:szCs w:val="20"/>
        </w:rPr>
        <w:t xml:space="preserve">an asset that the person or company owns, produces, manufactures, processes, or merchandises or, at the time of the execution of the transaction, reasonably anticipates owning, producing, manufacturing, processing, or </w:t>
      </w:r>
      <w:proofErr w:type="gramStart"/>
      <w:r w:rsidRPr="007D4E7F">
        <w:rPr>
          <w:bCs/>
          <w:sz w:val="22"/>
          <w:szCs w:val="20"/>
        </w:rPr>
        <w:t>merchandising;</w:t>
      </w:r>
      <w:proofErr w:type="gramEnd"/>
      <w:r w:rsidRPr="007D4E7F">
        <w:rPr>
          <w:bCs/>
          <w:sz w:val="22"/>
          <w:szCs w:val="20"/>
        </w:rPr>
        <w:t xml:space="preserve"> </w:t>
      </w:r>
    </w:p>
    <w:p w14:paraId="5E6F9797" w14:textId="77777777" w:rsidR="00FE6C6E" w:rsidRPr="007D4E7F" w:rsidRDefault="00201EFA" w:rsidP="00FE6C6E">
      <w:pPr>
        <w:pStyle w:val="BodyText"/>
        <w:spacing w:before="100" w:beforeAutospacing="1" w:after="120" w:line="240" w:lineRule="exact"/>
        <w:ind w:left="720" w:right="187" w:firstLine="0"/>
        <w:jc w:val="both"/>
        <w:rPr>
          <w:bCs/>
          <w:sz w:val="22"/>
          <w:szCs w:val="20"/>
        </w:rPr>
      </w:pPr>
      <w:r w:rsidRPr="007D4E7F">
        <w:rPr>
          <w:bCs/>
          <w:sz w:val="22"/>
          <w:szCs w:val="20"/>
        </w:rPr>
        <w:lastRenderedPageBreak/>
        <w:t xml:space="preserve">(b) a liability that the person or company incurs or, at the time the transaction occurs, reasonably anticipates </w:t>
      </w:r>
      <w:proofErr w:type="gramStart"/>
      <w:r w:rsidRPr="007D4E7F">
        <w:rPr>
          <w:bCs/>
          <w:sz w:val="22"/>
          <w:szCs w:val="20"/>
        </w:rPr>
        <w:t>incurring;</w:t>
      </w:r>
      <w:proofErr w:type="gramEnd"/>
      <w:r w:rsidRPr="007D4E7F">
        <w:rPr>
          <w:bCs/>
          <w:sz w:val="22"/>
          <w:szCs w:val="20"/>
        </w:rPr>
        <w:t xml:space="preserve"> </w:t>
      </w:r>
    </w:p>
    <w:p w14:paraId="7A176D98" w14:textId="77777777" w:rsidR="00FE6C6E" w:rsidRDefault="00201EFA" w:rsidP="00FE6C6E">
      <w:pPr>
        <w:pStyle w:val="BodyText"/>
        <w:spacing w:before="100" w:beforeAutospacing="1" w:after="120" w:line="240" w:lineRule="exact"/>
        <w:ind w:left="720" w:right="187" w:firstLine="0"/>
        <w:jc w:val="both"/>
        <w:rPr>
          <w:bCs/>
          <w:sz w:val="22"/>
          <w:szCs w:val="20"/>
        </w:rPr>
      </w:pPr>
      <w:r w:rsidRPr="007D4E7F">
        <w:rPr>
          <w:bCs/>
          <w:sz w:val="22"/>
          <w:szCs w:val="20"/>
        </w:rPr>
        <w:t>(c) a service that the person or company provides, purchases, or, at the time the transaction occurs, reasonably anticipates providing or purchasing.</w:t>
      </w:r>
    </w:p>
    <w:p w14:paraId="6FD45614" w14:textId="77777777" w:rsidR="00FE6C6E" w:rsidRPr="007D4E7F" w:rsidRDefault="00201EFA" w:rsidP="00FE6C6E">
      <w:pPr>
        <w:pStyle w:val="BodyText"/>
        <w:spacing w:before="100" w:beforeAutospacing="1" w:after="100" w:afterAutospacing="1" w:line="240" w:lineRule="auto"/>
        <w:ind w:right="187" w:firstLine="0"/>
        <w:jc w:val="both"/>
        <w:rPr>
          <w:bCs/>
          <w:sz w:val="22"/>
          <w:szCs w:val="20"/>
          <w:lang w:val="en-CA"/>
        </w:rPr>
      </w:pPr>
      <w:r w:rsidRPr="007D4E7F">
        <w:rPr>
          <w:bCs/>
          <w:sz w:val="22"/>
          <w:szCs w:val="20"/>
          <w:lang w:val="en-CA"/>
        </w:rPr>
        <w:t>“</w:t>
      </w:r>
      <w:r w:rsidRPr="007D4E7F">
        <w:rPr>
          <w:b/>
          <w:sz w:val="22"/>
          <w:szCs w:val="20"/>
          <w:lang w:val="en-CA"/>
        </w:rPr>
        <w:t>Core Requirements</w:t>
      </w:r>
      <w:r w:rsidRPr="007D4E7F">
        <w:rPr>
          <w:bCs/>
          <w:sz w:val="22"/>
          <w:szCs w:val="20"/>
          <w:lang w:val="en-CA"/>
        </w:rPr>
        <w:t>” means (a) Division 1 [</w:t>
      </w:r>
      <w:r w:rsidRPr="007D4E7F">
        <w:rPr>
          <w:bCs/>
          <w:i/>
          <w:iCs/>
          <w:sz w:val="22"/>
          <w:szCs w:val="20"/>
          <w:lang w:val="en-CA"/>
        </w:rPr>
        <w:t>General obligations towards all derivatives parties</w:t>
      </w:r>
      <w:r w:rsidRPr="007D4E7F">
        <w:rPr>
          <w:bCs/>
          <w:sz w:val="22"/>
          <w:szCs w:val="20"/>
          <w:lang w:val="en-CA"/>
        </w:rPr>
        <w:t>] of Part 3 [</w:t>
      </w:r>
      <w:r w:rsidRPr="007D4E7F">
        <w:rPr>
          <w:bCs/>
          <w:i/>
          <w:iCs/>
          <w:sz w:val="22"/>
          <w:szCs w:val="20"/>
          <w:lang w:val="en-CA"/>
        </w:rPr>
        <w:t>Dealing with or advising derivatives parties</w:t>
      </w:r>
      <w:r w:rsidRPr="007D4E7F">
        <w:rPr>
          <w:bCs/>
          <w:sz w:val="22"/>
          <w:szCs w:val="20"/>
          <w:lang w:val="en-CA"/>
        </w:rPr>
        <w:t>], (b) sections 24 [</w:t>
      </w:r>
      <w:r w:rsidRPr="007D4E7F">
        <w:rPr>
          <w:bCs/>
          <w:i/>
          <w:iCs/>
          <w:sz w:val="22"/>
          <w:szCs w:val="20"/>
          <w:lang w:val="en-CA"/>
        </w:rPr>
        <w:t>Interaction with other Instruments</w:t>
      </w:r>
      <w:r w:rsidRPr="007D4E7F">
        <w:rPr>
          <w:bCs/>
          <w:sz w:val="22"/>
          <w:szCs w:val="20"/>
          <w:lang w:val="en-CA"/>
        </w:rPr>
        <w:t>] and 25 [</w:t>
      </w:r>
      <w:r w:rsidRPr="007D4E7F">
        <w:rPr>
          <w:bCs/>
          <w:i/>
          <w:iCs/>
          <w:sz w:val="22"/>
          <w:szCs w:val="20"/>
          <w:lang w:val="en-CA"/>
        </w:rPr>
        <w:t>Segregating derivatives party assets</w:t>
      </w:r>
      <w:r w:rsidRPr="007D4E7F">
        <w:rPr>
          <w:bCs/>
          <w:sz w:val="22"/>
          <w:szCs w:val="20"/>
          <w:lang w:val="en-CA"/>
        </w:rPr>
        <w:t>], (c) subsection 28(1) [</w:t>
      </w:r>
      <w:r w:rsidRPr="007D4E7F">
        <w:rPr>
          <w:bCs/>
          <w:i/>
          <w:iCs/>
          <w:sz w:val="22"/>
          <w:szCs w:val="20"/>
          <w:lang w:val="en-CA"/>
        </w:rPr>
        <w:t>Content and delivery of transaction information</w:t>
      </w:r>
      <w:r w:rsidRPr="007D4E7F">
        <w:rPr>
          <w:bCs/>
          <w:sz w:val="22"/>
          <w:szCs w:val="20"/>
          <w:lang w:val="en-CA"/>
        </w:rPr>
        <w:t>], and (d) Part 5 [</w:t>
      </w:r>
      <w:r w:rsidRPr="007D4E7F">
        <w:rPr>
          <w:bCs/>
          <w:i/>
          <w:iCs/>
          <w:sz w:val="22"/>
          <w:szCs w:val="20"/>
          <w:lang w:val="en-CA"/>
        </w:rPr>
        <w:t>Compliance and recordkeeping</w:t>
      </w:r>
      <w:r w:rsidRPr="007D4E7F">
        <w:rPr>
          <w:bCs/>
          <w:sz w:val="22"/>
          <w:szCs w:val="20"/>
          <w:lang w:val="en-CA"/>
        </w:rPr>
        <w:t>] of the Business Conduct Rule.</w:t>
      </w:r>
    </w:p>
    <w:p w14:paraId="3FF732D4" w14:textId="77777777" w:rsidR="00FE6C6E" w:rsidRDefault="00201EFA" w:rsidP="00FE6C6E">
      <w:pPr>
        <w:pStyle w:val="BodyText"/>
        <w:spacing w:before="100" w:beforeAutospacing="1" w:after="100" w:afterAutospacing="1" w:line="240" w:lineRule="auto"/>
        <w:ind w:right="187" w:firstLine="0"/>
        <w:jc w:val="both"/>
        <w:rPr>
          <w:sz w:val="22"/>
          <w:szCs w:val="20"/>
          <w:lang w:val="en-CA"/>
        </w:rPr>
      </w:pPr>
      <w:r w:rsidRPr="007D4E7F">
        <w:rPr>
          <w:bCs/>
          <w:sz w:val="22"/>
          <w:szCs w:val="20"/>
          <w:lang w:val="en-CA"/>
        </w:rPr>
        <w:t>“</w:t>
      </w:r>
      <w:r w:rsidRPr="007D4E7F">
        <w:rPr>
          <w:b/>
          <w:sz w:val="22"/>
          <w:szCs w:val="20"/>
          <w:lang w:val="en-CA"/>
        </w:rPr>
        <w:t>derivative</w:t>
      </w:r>
      <w:r w:rsidRPr="007D4E7F">
        <w:rPr>
          <w:bCs/>
          <w:sz w:val="22"/>
          <w:szCs w:val="20"/>
          <w:lang w:val="en-CA"/>
        </w:rPr>
        <w:t>”</w:t>
      </w:r>
      <w:r w:rsidRPr="007D4E7F">
        <w:rPr>
          <w:sz w:val="22"/>
          <w:szCs w:val="20"/>
          <w:lang w:val="en-CA"/>
        </w:rPr>
        <w:t xml:space="preserve"> means a derivative as defined in the securities or derivatives legislation, rules or regulations of a relevant Canadian jurisdiction, that is not excluded from the definition by reason of any rule or order of the relevant Canadian Regulator.</w:t>
      </w:r>
    </w:p>
    <w:p w14:paraId="0965C8B5" w14:textId="77777777" w:rsidR="00FE6C6E" w:rsidRDefault="00201EFA" w:rsidP="00FE6C6E">
      <w:pPr>
        <w:pStyle w:val="BodyText"/>
        <w:shd w:val="clear" w:color="auto" w:fill="D9D9D9" w:themeFill="background1" w:themeFillShade="D9"/>
        <w:spacing w:before="100" w:beforeAutospacing="1" w:after="100" w:afterAutospacing="1" w:line="240" w:lineRule="auto"/>
        <w:ind w:right="187" w:firstLine="0"/>
        <w:jc w:val="both"/>
        <w:rPr>
          <w:sz w:val="22"/>
          <w:szCs w:val="20"/>
        </w:rPr>
      </w:pPr>
      <w:r w:rsidRPr="001262B1">
        <w:rPr>
          <w:sz w:val="22"/>
          <w:szCs w:val="20"/>
        </w:rPr>
        <w:t xml:space="preserve">The </w:t>
      </w:r>
      <w:r>
        <w:rPr>
          <w:sz w:val="22"/>
          <w:szCs w:val="20"/>
        </w:rPr>
        <w:t xml:space="preserve">types of derivatives that are in scope under the Business Conduct Rule are determined under the following rules: </w:t>
      </w:r>
    </w:p>
    <w:p w14:paraId="20D18B7E" w14:textId="77777777" w:rsidR="00FE6C6E" w:rsidRPr="001262B1" w:rsidRDefault="00201EFA" w:rsidP="00FE6C6E">
      <w:pPr>
        <w:pStyle w:val="BodyText"/>
        <w:numPr>
          <w:ilvl w:val="0"/>
          <w:numId w:val="27"/>
        </w:numPr>
        <w:shd w:val="clear" w:color="auto" w:fill="D9D9D9" w:themeFill="background1" w:themeFillShade="D9"/>
        <w:spacing w:before="100" w:beforeAutospacing="1" w:after="100" w:afterAutospacing="1" w:line="240" w:lineRule="auto"/>
        <w:ind w:right="187"/>
        <w:jc w:val="both"/>
        <w:rPr>
          <w:sz w:val="22"/>
          <w:szCs w:val="20"/>
          <w:lang w:val="en-CA"/>
        </w:rPr>
      </w:pPr>
      <w:r w:rsidRPr="001262B1">
        <w:rPr>
          <w:sz w:val="22"/>
          <w:szCs w:val="20"/>
        </w:rPr>
        <w:t xml:space="preserve">In British Columbia, Alberta, Saskatchewan, New Brunswick, Nova Scotia, Prince Edward Island, Newfoundland and Labrador, Yukon, Nunavut and Northwest Territories – Multilateral Instrument 91-101 </w:t>
      </w:r>
      <w:r w:rsidRPr="001262B1">
        <w:rPr>
          <w:i/>
          <w:iCs/>
          <w:sz w:val="22"/>
          <w:szCs w:val="20"/>
        </w:rPr>
        <w:t xml:space="preserve">Derivatives: Product </w:t>
      </w:r>
      <w:proofErr w:type="gramStart"/>
      <w:r w:rsidRPr="001262B1">
        <w:rPr>
          <w:i/>
          <w:iCs/>
          <w:sz w:val="22"/>
          <w:szCs w:val="20"/>
        </w:rPr>
        <w:t>Determination</w:t>
      </w:r>
      <w:r>
        <w:rPr>
          <w:sz w:val="22"/>
          <w:szCs w:val="20"/>
        </w:rPr>
        <w:t>;</w:t>
      </w:r>
      <w:proofErr w:type="gramEnd"/>
    </w:p>
    <w:p w14:paraId="21E11C0B" w14:textId="77777777" w:rsidR="00FE6C6E" w:rsidRPr="001262B1" w:rsidRDefault="00201EFA" w:rsidP="00FE6C6E">
      <w:pPr>
        <w:pStyle w:val="BodyText"/>
        <w:numPr>
          <w:ilvl w:val="0"/>
          <w:numId w:val="27"/>
        </w:numPr>
        <w:shd w:val="clear" w:color="auto" w:fill="D9D9D9" w:themeFill="background1" w:themeFillShade="D9"/>
        <w:spacing w:before="100" w:beforeAutospacing="1" w:after="100" w:afterAutospacing="1" w:line="240" w:lineRule="auto"/>
        <w:ind w:right="187"/>
        <w:jc w:val="both"/>
        <w:rPr>
          <w:sz w:val="22"/>
          <w:szCs w:val="20"/>
          <w:lang w:val="en-CA"/>
        </w:rPr>
      </w:pPr>
      <w:r w:rsidRPr="001262B1">
        <w:rPr>
          <w:sz w:val="22"/>
          <w:szCs w:val="20"/>
        </w:rPr>
        <w:t xml:space="preserve">In Manitoba – Manitoba Securities Commission Rule 91-506 </w:t>
      </w:r>
      <w:r w:rsidRPr="001262B1">
        <w:rPr>
          <w:i/>
          <w:iCs/>
          <w:sz w:val="22"/>
          <w:szCs w:val="20"/>
        </w:rPr>
        <w:t>Derivatives: Product Determination</w:t>
      </w:r>
    </w:p>
    <w:p w14:paraId="53FD9F79" w14:textId="77777777" w:rsidR="00FE6C6E" w:rsidRPr="001262B1" w:rsidRDefault="00201EFA" w:rsidP="00FE6C6E">
      <w:pPr>
        <w:pStyle w:val="BodyText"/>
        <w:numPr>
          <w:ilvl w:val="0"/>
          <w:numId w:val="27"/>
        </w:numPr>
        <w:shd w:val="clear" w:color="auto" w:fill="D9D9D9" w:themeFill="background1" w:themeFillShade="D9"/>
        <w:spacing w:before="100" w:beforeAutospacing="1" w:after="100" w:afterAutospacing="1" w:line="240" w:lineRule="auto"/>
        <w:ind w:right="187"/>
        <w:jc w:val="both"/>
        <w:rPr>
          <w:sz w:val="22"/>
          <w:szCs w:val="20"/>
          <w:lang w:val="en-CA"/>
        </w:rPr>
      </w:pPr>
      <w:r w:rsidRPr="001262B1">
        <w:rPr>
          <w:sz w:val="22"/>
          <w:szCs w:val="20"/>
        </w:rPr>
        <w:t xml:space="preserve">In Ontario – Ontario Securities Commission (OSC) Rule 91-506 </w:t>
      </w:r>
      <w:r w:rsidRPr="001262B1">
        <w:rPr>
          <w:i/>
          <w:iCs/>
          <w:sz w:val="22"/>
          <w:szCs w:val="20"/>
        </w:rPr>
        <w:t>Derivatives: Product Determination</w:t>
      </w:r>
      <w:r>
        <w:rPr>
          <w:sz w:val="22"/>
          <w:szCs w:val="20"/>
        </w:rPr>
        <w:t>; and</w:t>
      </w:r>
    </w:p>
    <w:p w14:paraId="43DBB7C1" w14:textId="77777777" w:rsidR="00FE6C6E" w:rsidRPr="007D4E7F" w:rsidRDefault="00201EFA" w:rsidP="00FE6C6E">
      <w:pPr>
        <w:pStyle w:val="BodyText"/>
        <w:numPr>
          <w:ilvl w:val="0"/>
          <w:numId w:val="27"/>
        </w:numPr>
        <w:shd w:val="clear" w:color="auto" w:fill="D9D9D9" w:themeFill="background1" w:themeFillShade="D9"/>
        <w:spacing w:before="100" w:beforeAutospacing="1" w:after="100" w:afterAutospacing="1" w:line="240" w:lineRule="auto"/>
        <w:ind w:right="187"/>
        <w:jc w:val="both"/>
        <w:rPr>
          <w:sz w:val="22"/>
          <w:szCs w:val="20"/>
          <w:lang w:val="en-CA"/>
        </w:rPr>
      </w:pPr>
      <w:r w:rsidRPr="001262B1">
        <w:rPr>
          <w:sz w:val="22"/>
          <w:szCs w:val="20"/>
        </w:rPr>
        <w:t xml:space="preserve">In Québec – </w:t>
      </w:r>
      <w:r w:rsidRPr="006D05A3">
        <w:rPr>
          <w:i/>
          <w:iCs/>
          <w:sz w:val="22"/>
          <w:szCs w:val="20"/>
        </w:rPr>
        <w:t>Regulation 91-506 respecting Derivatives Determination</w:t>
      </w:r>
      <w:r>
        <w:rPr>
          <w:sz w:val="22"/>
          <w:szCs w:val="20"/>
        </w:rPr>
        <w:t>.</w:t>
      </w:r>
    </w:p>
    <w:p w14:paraId="5F2535F0" w14:textId="77777777" w:rsidR="00FE6C6E" w:rsidRPr="007D4E7F" w:rsidRDefault="00201EFA" w:rsidP="00FE6C6E">
      <w:pPr>
        <w:pStyle w:val="BodyText"/>
        <w:spacing w:before="100" w:beforeAutospacing="1" w:after="100" w:afterAutospacing="1" w:line="240" w:lineRule="auto"/>
        <w:ind w:right="187" w:firstLine="0"/>
        <w:jc w:val="both"/>
        <w:rPr>
          <w:sz w:val="22"/>
          <w:szCs w:val="20"/>
          <w:lang w:val="en-CA"/>
        </w:rPr>
      </w:pPr>
      <w:r w:rsidRPr="007D4E7F">
        <w:rPr>
          <w:bCs/>
          <w:sz w:val="22"/>
          <w:szCs w:val="20"/>
          <w:lang w:val="en-CA"/>
        </w:rPr>
        <w:t>“</w:t>
      </w:r>
      <w:r w:rsidRPr="007D4E7F">
        <w:rPr>
          <w:b/>
          <w:sz w:val="22"/>
          <w:szCs w:val="20"/>
          <w:lang w:val="en-CA"/>
        </w:rPr>
        <w:t>derivatives adviser</w:t>
      </w:r>
      <w:r w:rsidRPr="007D4E7F">
        <w:rPr>
          <w:bCs/>
          <w:sz w:val="22"/>
          <w:szCs w:val="20"/>
          <w:lang w:val="en-CA"/>
        </w:rPr>
        <w:t>”</w:t>
      </w:r>
      <w:r w:rsidRPr="007D4E7F">
        <w:rPr>
          <w:sz w:val="22"/>
          <w:szCs w:val="20"/>
          <w:lang w:val="en-CA"/>
        </w:rPr>
        <w:t xml:space="preserve"> means any of the following:</w:t>
      </w:r>
    </w:p>
    <w:p w14:paraId="31931553" w14:textId="77777777" w:rsidR="00FE6C6E" w:rsidRDefault="00201EFA" w:rsidP="00FE6C6E">
      <w:pPr>
        <w:pStyle w:val="BodyText"/>
        <w:spacing w:before="100" w:beforeAutospacing="1" w:after="120" w:line="240" w:lineRule="exact"/>
        <w:ind w:left="720" w:right="187" w:firstLine="0"/>
        <w:jc w:val="both"/>
        <w:rPr>
          <w:bCs/>
          <w:sz w:val="22"/>
          <w:szCs w:val="20"/>
        </w:rPr>
      </w:pPr>
      <w:r w:rsidRPr="007D4E7F">
        <w:rPr>
          <w:bCs/>
          <w:sz w:val="22"/>
          <w:szCs w:val="20"/>
        </w:rPr>
        <w:t xml:space="preserve">(a) except in Québec, a person or company engaging in or holding themself out as engaging in the business of advising others in respect of </w:t>
      </w:r>
      <w:proofErr w:type="gramStart"/>
      <w:r w:rsidRPr="007D4E7F">
        <w:rPr>
          <w:bCs/>
          <w:sz w:val="22"/>
          <w:szCs w:val="20"/>
        </w:rPr>
        <w:t>derivatives;</w:t>
      </w:r>
      <w:proofErr w:type="gramEnd"/>
      <w:r w:rsidRPr="007D4E7F">
        <w:rPr>
          <w:bCs/>
          <w:sz w:val="22"/>
          <w:szCs w:val="20"/>
        </w:rPr>
        <w:t xml:space="preserve"> </w:t>
      </w:r>
    </w:p>
    <w:p w14:paraId="72A5E286" w14:textId="77777777" w:rsidR="00FE6C6E" w:rsidRPr="00D07ECD" w:rsidRDefault="00201EFA" w:rsidP="00FE6C6E">
      <w:pPr>
        <w:pStyle w:val="BodyText"/>
        <w:shd w:val="clear" w:color="auto" w:fill="D9D9D9" w:themeFill="background1" w:themeFillShade="D9"/>
        <w:spacing w:before="100" w:beforeAutospacing="1" w:after="120" w:line="240" w:lineRule="exact"/>
        <w:ind w:left="720" w:right="187" w:firstLine="0"/>
        <w:jc w:val="both"/>
        <w:rPr>
          <w:bCs/>
          <w:sz w:val="22"/>
          <w:szCs w:val="20"/>
        </w:rPr>
      </w:pPr>
      <w:r w:rsidRPr="00D07ECD">
        <w:rPr>
          <w:bCs/>
          <w:sz w:val="22"/>
          <w:szCs w:val="20"/>
        </w:rPr>
        <w:t>The person or company need not have a physical location, staff or other presence in the local jurisdiction, so long as the prescribed activities are being conducted in that jurisdiction.</w:t>
      </w:r>
    </w:p>
    <w:p w14:paraId="60F0128F" w14:textId="77777777" w:rsidR="00FE6C6E" w:rsidRPr="00D07ECD" w:rsidRDefault="00201EFA" w:rsidP="00FE6C6E">
      <w:pPr>
        <w:pStyle w:val="BodyText"/>
        <w:shd w:val="clear" w:color="auto" w:fill="D9D9D9" w:themeFill="background1" w:themeFillShade="D9"/>
        <w:spacing w:before="100" w:beforeAutospacing="1" w:after="120" w:line="240" w:lineRule="exact"/>
        <w:ind w:left="720" w:right="187" w:firstLine="0"/>
        <w:jc w:val="both"/>
        <w:rPr>
          <w:bCs/>
          <w:sz w:val="22"/>
          <w:szCs w:val="20"/>
        </w:rPr>
      </w:pPr>
      <w:r w:rsidRPr="00D07ECD">
        <w:rPr>
          <w:bCs/>
          <w:sz w:val="22"/>
          <w:szCs w:val="20"/>
        </w:rPr>
        <w:t xml:space="preserve">Refer to the </w:t>
      </w:r>
      <w:r w:rsidRPr="00D07ECD">
        <w:rPr>
          <w:b/>
          <w:bCs/>
          <w:sz w:val="22"/>
          <w:szCs w:val="20"/>
        </w:rPr>
        <w:t>business trigger test</w:t>
      </w:r>
      <w:r w:rsidRPr="00D07ECD">
        <w:rPr>
          <w:bCs/>
          <w:sz w:val="22"/>
          <w:szCs w:val="20"/>
        </w:rPr>
        <w:t xml:space="preserve"> in </w:t>
      </w:r>
      <w:r>
        <w:rPr>
          <w:bCs/>
          <w:sz w:val="22"/>
          <w:szCs w:val="20"/>
        </w:rPr>
        <w:t>the Companion Policy</w:t>
      </w:r>
      <w:r w:rsidRPr="00D07ECD">
        <w:rPr>
          <w:bCs/>
          <w:sz w:val="22"/>
          <w:szCs w:val="20"/>
        </w:rPr>
        <w:t xml:space="preserve"> for a detailed discussion regarding what constitutes the “business of advising” in derivatives.</w:t>
      </w:r>
    </w:p>
    <w:p w14:paraId="7504D6BB" w14:textId="77777777" w:rsidR="00FE6C6E" w:rsidRPr="00D07ECD" w:rsidRDefault="00201EFA" w:rsidP="00FE6C6E">
      <w:pPr>
        <w:pStyle w:val="BodyText"/>
        <w:shd w:val="clear" w:color="auto" w:fill="D9D9D9" w:themeFill="background1" w:themeFillShade="D9"/>
        <w:spacing w:before="100" w:beforeAutospacing="1" w:after="120" w:line="240" w:lineRule="exact"/>
        <w:ind w:left="720" w:right="187" w:firstLine="0"/>
        <w:jc w:val="both"/>
        <w:rPr>
          <w:bCs/>
          <w:sz w:val="22"/>
          <w:szCs w:val="20"/>
        </w:rPr>
      </w:pPr>
      <w:r w:rsidRPr="00D07ECD">
        <w:rPr>
          <w:bCs/>
          <w:sz w:val="22"/>
          <w:szCs w:val="20"/>
        </w:rPr>
        <w:t>Briefly, this may include (but is not limited to) a person or company advising in relation to, recommending or making trading decisions on behalf of a managed client account in relation to derivatives or derivatives trading strategies. This may include situations where the advice or recommendation is provided generally (such as in a publicly</w:t>
      </w:r>
      <w:r>
        <w:rPr>
          <w:bCs/>
          <w:sz w:val="22"/>
          <w:szCs w:val="20"/>
        </w:rPr>
        <w:t xml:space="preserve"> </w:t>
      </w:r>
      <w:r w:rsidRPr="00D07ECD">
        <w:rPr>
          <w:bCs/>
          <w:sz w:val="22"/>
          <w:szCs w:val="20"/>
        </w:rPr>
        <w:t>available newsletter), subject to a potential exemption under section 45 [</w:t>
      </w:r>
      <w:r w:rsidRPr="00D07ECD">
        <w:rPr>
          <w:bCs/>
          <w:i/>
          <w:iCs/>
          <w:sz w:val="22"/>
          <w:szCs w:val="20"/>
        </w:rPr>
        <w:t>Advising generally</w:t>
      </w:r>
      <w:r w:rsidRPr="00D07ECD">
        <w:rPr>
          <w:bCs/>
          <w:sz w:val="22"/>
          <w:szCs w:val="20"/>
        </w:rPr>
        <w:t xml:space="preserve">]. No factor is </w:t>
      </w:r>
      <w:proofErr w:type="gramStart"/>
      <w:r w:rsidRPr="00D07ECD">
        <w:rPr>
          <w:bCs/>
          <w:sz w:val="22"/>
          <w:szCs w:val="20"/>
        </w:rPr>
        <w:t>determinative</w:t>
      </w:r>
      <w:proofErr w:type="gramEnd"/>
      <w:r w:rsidRPr="00D07ECD">
        <w:rPr>
          <w:bCs/>
          <w:sz w:val="22"/>
          <w:szCs w:val="20"/>
        </w:rPr>
        <w:t xml:space="preserve"> and each factor may carry a different weight in different circumstances.</w:t>
      </w:r>
    </w:p>
    <w:p w14:paraId="55AEBB85" w14:textId="77777777" w:rsidR="00FE6C6E" w:rsidRPr="00D07ECD" w:rsidRDefault="00201EFA" w:rsidP="00FE6C6E">
      <w:pPr>
        <w:pStyle w:val="BodyText"/>
        <w:shd w:val="clear" w:color="auto" w:fill="D9D9D9" w:themeFill="background1" w:themeFillShade="D9"/>
        <w:spacing w:before="100" w:beforeAutospacing="1" w:after="120" w:line="240" w:lineRule="exact"/>
        <w:ind w:left="720" w:right="187" w:firstLine="0"/>
        <w:jc w:val="both"/>
        <w:rPr>
          <w:bCs/>
          <w:sz w:val="22"/>
          <w:szCs w:val="20"/>
        </w:rPr>
      </w:pPr>
      <w:r w:rsidRPr="00D07ECD">
        <w:rPr>
          <w:bCs/>
          <w:sz w:val="22"/>
          <w:szCs w:val="20"/>
        </w:rPr>
        <w:t xml:space="preserve">A derivatives dealer will not </w:t>
      </w:r>
      <w:r>
        <w:rPr>
          <w:bCs/>
          <w:sz w:val="22"/>
          <w:szCs w:val="20"/>
        </w:rPr>
        <w:t>additionally</w:t>
      </w:r>
      <w:r w:rsidRPr="00D07ECD">
        <w:rPr>
          <w:bCs/>
          <w:sz w:val="22"/>
          <w:szCs w:val="20"/>
        </w:rPr>
        <w:t xml:space="preserve"> be treated as a derivatives advisor with respect to the same activity, so long as the dealer is appropriately registered (or is otherwise exempt from registration) and has the necessary proficiency to provide </w:t>
      </w:r>
      <w:proofErr w:type="gramStart"/>
      <w:r w:rsidRPr="00D07ECD">
        <w:rPr>
          <w:bCs/>
          <w:sz w:val="22"/>
          <w:szCs w:val="20"/>
        </w:rPr>
        <w:t>the advice</w:t>
      </w:r>
      <w:proofErr w:type="gramEnd"/>
      <w:r w:rsidRPr="00D07ECD">
        <w:rPr>
          <w:bCs/>
          <w:sz w:val="22"/>
          <w:szCs w:val="20"/>
        </w:rPr>
        <w:t>.</w:t>
      </w:r>
    </w:p>
    <w:p w14:paraId="2B5CB343" w14:textId="77777777" w:rsidR="00FE6C6E" w:rsidRPr="00D07ECD" w:rsidRDefault="00201EFA" w:rsidP="00FE6C6E">
      <w:pPr>
        <w:pStyle w:val="BodyText"/>
        <w:shd w:val="clear" w:color="auto" w:fill="D9D9D9" w:themeFill="background1" w:themeFillShade="D9"/>
        <w:spacing w:before="100" w:beforeAutospacing="1" w:after="120" w:line="240" w:lineRule="exact"/>
        <w:ind w:left="720" w:right="187" w:firstLine="0"/>
        <w:jc w:val="both"/>
        <w:rPr>
          <w:bCs/>
          <w:sz w:val="22"/>
          <w:szCs w:val="20"/>
        </w:rPr>
      </w:pPr>
      <w:r w:rsidRPr="00D07ECD">
        <w:rPr>
          <w:bCs/>
          <w:sz w:val="22"/>
          <w:szCs w:val="20"/>
        </w:rPr>
        <w:t xml:space="preserve">Trading activity or advice that is incidental to the firm’s </w:t>
      </w:r>
      <w:r w:rsidRPr="00D07ECD">
        <w:rPr>
          <w:bCs/>
          <w:i/>
          <w:iCs/>
          <w:sz w:val="22"/>
          <w:szCs w:val="20"/>
        </w:rPr>
        <w:t>bona fide</w:t>
      </w:r>
      <w:r w:rsidRPr="00D07ECD">
        <w:rPr>
          <w:bCs/>
          <w:sz w:val="22"/>
          <w:szCs w:val="20"/>
        </w:rPr>
        <w:t xml:space="preserve"> primary business may not trigger the business purpose test, such as in the case of lawyers, accountants, engineers, geologists, teachers and other appropriately licensed professionals.</w:t>
      </w:r>
    </w:p>
    <w:p w14:paraId="1E55D1EE" w14:textId="77777777" w:rsidR="00FE6C6E" w:rsidRPr="007D4E7F" w:rsidRDefault="00FE6C6E" w:rsidP="00FE6C6E">
      <w:pPr>
        <w:pStyle w:val="BodyText"/>
        <w:spacing w:before="100" w:beforeAutospacing="1" w:after="120" w:line="240" w:lineRule="exact"/>
        <w:ind w:left="720" w:right="187" w:firstLine="0"/>
        <w:jc w:val="both"/>
        <w:rPr>
          <w:bCs/>
          <w:sz w:val="22"/>
          <w:szCs w:val="20"/>
        </w:rPr>
      </w:pPr>
    </w:p>
    <w:p w14:paraId="5D6360F7" w14:textId="77777777" w:rsidR="00FE6C6E" w:rsidRPr="007D4E7F" w:rsidRDefault="00201EFA" w:rsidP="00FE6C6E">
      <w:pPr>
        <w:pStyle w:val="BodyText"/>
        <w:spacing w:before="100" w:beforeAutospacing="1" w:after="120" w:line="240" w:lineRule="exact"/>
        <w:ind w:left="720" w:right="187" w:firstLine="0"/>
        <w:jc w:val="both"/>
        <w:rPr>
          <w:bCs/>
          <w:sz w:val="22"/>
          <w:szCs w:val="20"/>
        </w:rPr>
      </w:pPr>
      <w:r w:rsidRPr="007D4E7F">
        <w:rPr>
          <w:bCs/>
          <w:sz w:val="22"/>
          <w:szCs w:val="20"/>
        </w:rPr>
        <w:t xml:space="preserve">(b) in Québec, an adviser as that term is defined in the </w:t>
      </w:r>
      <w:r w:rsidRPr="007D4E7F">
        <w:rPr>
          <w:bCs/>
          <w:i/>
          <w:iCs/>
          <w:sz w:val="22"/>
          <w:szCs w:val="20"/>
        </w:rPr>
        <w:t xml:space="preserve">Derivatives Act </w:t>
      </w:r>
      <w:r w:rsidRPr="007D4E7F">
        <w:rPr>
          <w:bCs/>
          <w:sz w:val="22"/>
          <w:szCs w:val="20"/>
        </w:rPr>
        <w:t>(Québec</w:t>
      </w:r>
      <w:proofErr w:type="gramStart"/>
      <w:r w:rsidRPr="007D4E7F">
        <w:rPr>
          <w:bCs/>
          <w:sz w:val="22"/>
          <w:szCs w:val="20"/>
        </w:rPr>
        <w:t>);</w:t>
      </w:r>
      <w:proofErr w:type="gramEnd"/>
      <w:r w:rsidRPr="007D4E7F">
        <w:rPr>
          <w:bCs/>
          <w:sz w:val="22"/>
          <w:szCs w:val="20"/>
        </w:rPr>
        <w:t xml:space="preserve"> </w:t>
      </w:r>
    </w:p>
    <w:p w14:paraId="488BC4D6" w14:textId="77777777" w:rsidR="00FE6C6E" w:rsidRDefault="00201EFA" w:rsidP="00FE6C6E">
      <w:pPr>
        <w:pStyle w:val="BodyText"/>
        <w:spacing w:before="100" w:beforeAutospacing="1" w:after="120" w:line="240" w:lineRule="exact"/>
        <w:ind w:left="720" w:right="187" w:firstLine="0"/>
        <w:jc w:val="both"/>
        <w:rPr>
          <w:bCs/>
          <w:sz w:val="22"/>
          <w:szCs w:val="20"/>
        </w:rPr>
      </w:pPr>
      <w:r w:rsidRPr="007D4E7F">
        <w:rPr>
          <w:bCs/>
          <w:sz w:val="22"/>
          <w:szCs w:val="20"/>
        </w:rPr>
        <w:lastRenderedPageBreak/>
        <w:t>(c) any other person or company required to be registered as a derivatives adviser under securities legislation of a jurisdiction of Canada.</w:t>
      </w:r>
    </w:p>
    <w:p w14:paraId="350B2F2B" w14:textId="77777777" w:rsidR="00FE6C6E" w:rsidRPr="007D4E7F" w:rsidRDefault="00201EFA" w:rsidP="00FE6C6E">
      <w:pPr>
        <w:pStyle w:val="BodyText"/>
        <w:spacing w:before="100" w:beforeAutospacing="1" w:after="100" w:afterAutospacing="1" w:line="240" w:lineRule="auto"/>
        <w:ind w:right="187" w:firstLine="0"/>
        <w:jc w:val="both"/>
        <w:rPr>
          <w:sz w:val="22"/>
          <w:szCs w:val="20"/>
          <w:lang w:val="en-CA"/>
        </w:rPr>
      </w:pPr>
      <w:r w:rsidRPr="007D4E7F">
        <w:rPr>
          <w:bCs/>
          <w:sz w:val="22"/>
          <w:szCs w:val="20"/>
          <w:lang w:val="en-CA"/>
        </w:rPr>
        <w:t>“</w:t>
      </w:r>
      <w:r w:rsidRPr="007D4E7F">
        <w:rPr>
          <w:b/>
          <w:sz w:val="22"/>
          <w:szCs w:val="20"/>
          <w:lang w:val="en-CA"/>
        </w:rPr>
        <w:t>derivatives dealer</w:t>
      </w:r>
      <w:r w:rsidRPr="007D4E7F">
        <w:rPr>
          <w:bCs/>
          <w:sz w:val="22"/>
          <w:szCs w:val="20"/>
          <w:lang w:val="en-CA"/>
        </w:rPr>
        <w:t>”</w:t>
      </w:r>
      <w:r w:rsidRPr="007D4E7F">
        <w:rPr>
          <w:sz w:val="22"/>
          <w:szCs w:val="20"/>
          <w:lang w:val="en-CA"/>
        </w:rPr>
        <w:t xml:space="preserve"> means any of the following:</w:t>
      </w:r>
    </w:p>
    <w:p w14:paraId="091D4DE8" w14:textId="77777777" w:rsidR="00FE6C6E" w:rsidRDefault="00201EFA" w:rsidP="00FE6C6E">
      <w:pPr>
        <w:pStyle w:val="BodyText"/>
        <w:spacing w:before="100" w:beforeAutospacing="1" w:after="120" w:line="240" w:lineRule="exact"/>
        <w:ind w:left="720" w:right="187" w:firstLine="0"/>
        <w:jc w:val="both"/>
        <w:rPr>
          <w:sz w:val="22"/>
          <w:szCs w:val="20"/>
        </w:rPr>
      </w:pPr>
      <w:bookmarkStart w:id="10" w:name="_Hlk149983310"/>
      <w:r w:rsidRPr="007D4E7F">
        <w:rPr>
          <w:sz w:val="22"/>
          <w:szCs w:val="20"/>
        </w:rPr>
        <w:t xml:space="preserve">(a) except in Québec, a person or company engaging in or holding themself out as engaging in the business of trading in derivatives as principal or </w:t>
      </w:r>
      <w:proofErr w:type="gramStart"/>
      <w:r w:rsidRPr="007D4E7F">
        <w:rPr>
          <w:sz w:val="22"/>
          <w:szCs w:val="20"/>
        </w:rPr>
        <w:t>agent;</w:t>
      </w:r>
      <w:proofErr w:type="gramEnd"/>
      <w:r w:rsidRPr="007D4E7F">
        <w:rPr>
          <w:sz w:val="22"/>
          <w:szCs w:val="20"/>
        </w:rPr>
        <w:t xml:space="preserve"> </w:t>
      </w:r>
    </w:p>
    <w:p w14:paraId="4442631F" w14:textId="77777777" w:rsidR="00FE6C6E" w:rsidRPr="00D07ECD" w:rsidRDefault="00201EFA" w:rsidP="00FE6C6E">
      <w:pPr>
        <w:pStyle w:val="BodyText"/>
        <w:shd w:val="clear" w:color="auto" w:fill="D9D9D9" w:themeFill="background1" w:themeFillShade="D9"/>
        <w:spacing w:before="100" w:beforeAutospacing="1" w:after="120" w:line="240" w:lineRule="exact"/>
        <w:ind w:left="720" w:right="187" w:firstLine="0"/>
        <w:jc w:val="both"/>
        <w:rPr>
          <w:sz w:val="22"/>
          <w:szCs w:val="20"/>
        </w:rPr>
      </w:pPr>
      <w:r w:rsidRPr="00D07ECD">
        <w:rPr>
          <w:sz w:val="22"/>
          <w:szCs w:val="20"/>
        </w:rPr>
        <w:t>The person or company need not have a physical location, staff or other presence in the local jurisdiction, so long as the prescribed activities are being conducted in that jurisdiction.</w:t>
      </w:r>
    </w:p>
    <w:p w14:paraId="41E16BB0" w14:textId="77777777" w:rsidR="00FE6C6E" w:rsidRPr="00D07ECD" w:rsidRDefault="00201EFA" w:rsidP="00FE6C6E">
      <w:pPr>
        <w:pStyle w:val="BodyText"/>
        <w:shd w:val="clear" w:color="auto" w:fill="D9D9D9" w:themeFill="background1" w:themeFillShade="D9"/>
        <w:spacing w:before="100" w:beforeAutospacing="1" w:after="120" w:line="240" w:lineRule="exact"/>
        <w:ind w:left="720" w:right="187" w:firstLine="0"/>
        <w:jc w:val="both"/>
        <w:rPr>
          <w:sz w:val="22"/>
          <w:szCs w:val="20"/>
        </w:rPr>
      </w:pPr>
      <w:r w:rsidRPr="00D07ECD">
        <w:rPr>
          <w:sz w:val="22"/>
          <w:szCs w:val="20"/>
        </w:rPr>
        <w:t xml:space="preserve">Refer to the </w:t>
      </w:r>
      <w:r w:rsidRPr="00D07ECD">
        <w:rPr>
          <w:b/>
          <w:bCs/>
          <w:sz w:val="22"/>
          <w:szCs w:val="20"/>
        </w:rPr>
        <w:t>business trigger test</w:t>
      </w:r>
      <w:r w:rsidRPr="00D07ECD">
        <w:rPr>
          <w:sz w:val="22"/>
          <w:szCs w:val="20"/>
        </w:rPr>
        <w:t xml:space="preserve"> in </w:t>
      </w:r>
      <w:r>
        <w:rPr>
          <w:sz w:val="22"/>
          <w:szCs w:val="20"/>
        </w:rPr>
        <w:t>the Companion Policy</w:t>
      </w:r>
      <w:r w:rsidRPr="00D07ECD">
        <w:rPr>
          <w:sz w:val="22"/>
          <w:szCs w:val="20"/>
        </w:rPr>
        <w:t xml:space="preserve"> for a detailed discussion regarding what constitutes the “business of trading” in derivatives.</w:t>
      </w:r>
    </w:p>
    <w:p w14:paraId="7FED0717" w14:textId="77777777" w:rsidR="00FE6C6E" w:rsidRDefault="00201EFA" w:rsidP="00FE6C6E">
      <w:pPr>
        <w:pStyle w:val="BodyText"/>
        <w:shd w:val="clear" w:color="auto" w:fill="D9D9D9" w:themeFill="background1" w:themeFillShade="D9"/>
        <w:spacing w:before="100" w:beforeAutospacing="1" w:after="120" w:line="240" w:lineRule="exact"/>
        <w:ind w:left="720" w:right="187" w:firstLine="0"/>
        <w:jc w:val="both"/>
        <w:rPr>
          <w:sz w:val="22"/>
          <w:szCs w:val="20"/>
        </w:rPr>
      </w:pPr>
      <w:r w:rsidRPr="00D07ECD">
        <w:rPr>
          <w:sz w:val="22"/>
          <w:szCs w:val="20"/>
        </w:rPr>
        <w:t>Briefly, this is a holistic fact-specific assessment and includes (but is not limited to)</w:t>
      </w:r>
      <w:r>
        <w:rPr>
          <w:sz w:val="22"/>
          <w:szCs w:val="20"/>
        </w:rPr>
        <w:t xml:space="preserve"> </w:t>
      </w:r>
      <w:r w:rsidRPr="00D07ECD">
        <w:rPr>
          <w:sz w:val="22"/>
          <w:szCs w:val="20"/>
        </w:rPr>
        <w:t>a consideration of the following factors: (i) acting as market maker</w:t>
      </w:r>
      <w:r>
        <w:rPr>
          <w:sz w:val="22"/>
          <w:szCs w:val="20"/>
        </w:rPr>
        <w:t>;</w:t>
      </w:r>
      <w:r w:rsidRPr="00D07ECD">
        <w:rPr>
          <w:sz w:val="22"/>
          <w:szCs w:val="20"/>
        </w:rPr>
        <w:t xml:space="preserve"> (ii) directly or indirectly carrying on the activity with repetition, regularity or continuity</w:t>
      </w:r>
      <w:r>
        <w:rPr>
          <w:sz w:val="22"/>
          <w:szCs w:val="20"/>
        </w:rPr>
        <w:t>;</w:t>
      </w:r>
      <w:r w:rsidRPr="00D07ECD">
        <w:rPr>
          <w:sz w:val="22"/>
          <w:szCs w:val="20"/>
        </w:rPr>
        <w:t xml:space="preserve"> (iii) facilitating or intermediating transactions</w:t>
      </w:r>
      <w:r>
        <w:rPr>
          <w:sz w:val="22"/>
          <w:szCs w:val="20"/>
        </w:rPr>
        <w:t>;</w:t>
      </w:r>
      <w:r w:rsidRPr="00D07ECD">
        <w:rPr>
          <w:sz w:val="22"/>
          <w:szCs w:val="20"/>
        </w:rPr>
        <w:t xml:space="preserve"> (iv) transacting with the intention of being compensated</w:t>
      </w:r>
      <w:r>
        <w:rPr>
          <w:sz w:val="22"/>
          <w:szCs w:val="20"/>
        </w:rPr>
        <w:t>;</w:t>
      </w:r>
      <w:r w:rsidRPr="00D07ECD">
        <w:rPr>
          <w:sz w:val="22"/>
          <w:szCs w:val="20"/>
        </w:rPr>
        <w:t xml:space="preserve"> (v) directly or indirectly soliciting in relation to transactions</w:t>
      </w:r>
      <w:r>
        <w:rPr>
          <w:sz w:val="22"/>
          <w:szCs w:val="20"/>
        </w:rPr>
        <w:t xml:space="preserve">; </w:t>
      </w:r>
      <w:r w:rsidRPr="00D07ECD">
        <w:rPr>
          <w:sz w:val="22"/>
          <w:szCs w:val="20"/>
        </w:rPr>
        <w:t>(vi) engaging in activities similar to a derivatives adviser or derivatives dealer</w:t>
      </w:r>
      <w:r>
        <w:rPr>
          <w:sz w:val="22"/>
          <w:szCs w:val="20"/>
        </w:rPr>
        <w:t>;</w:t>
      </w:r>
      <w:r w:rsidRPr="00D07ECD">
        <w:rPr>
          <w:sz w:val="22"/>
          <w:szCs w:val="20"/>
        </w:rPr>
        <w:t xml:space="preserve"> and (vi</w:t>
      </w:r>
      <w:r>
        <w:rPr>
          <w:sz w:val="22"/>
          <w:szCs w:val="20"/>
        </w:rPr>
        <w:t>i</w:t>
      </w:r>
      <w:r w:rsidRPr="00D07ECD">
        <w:rPr>
          <w:sz w:val="22"/>
          <w:szCs w:val="20"/>
        </w:rPr>
        <w:t>) providing derivatives clearing services. No factor is determinative</w:t>
      </w:r>
      <w:r>
        <w:rPr>
          <w:sz w:val="22"/>
          <w:szCs w:val="20"/>
        </w:rPr>
        <w:t>,</w:t>
      </w:r>
      <w:r w:rsidRPr="00D07ECD">
        <w:rPr>
          <w:sz w:val="22"/>
          <w:szCs w:val="20"/>
        </w:rPr>
        <w:t xml:space="preserve"> and each factor may carry a different weight in different circumstances.</w:t>
      </w:r>
    </w:p>
    <w:p w14:paraId="4335FA7C" w14:textId="77777777" w:rsidR="00FE6C6E" w:rsidRPr="00D07ECD" w:rsidRDefault="00201EFA" w:rsidP="00FE6C6E">
      <w:pPr>
        <w:pStyle w:val="BodyText"/>
        <w:shd w:val="clear" w:color="auto" w:fill="D9D9D9" w:themeFill="background1" w:themeFillShade="D9"/>
        <w:spacing w:before="100" w:beforeAutospacing="1" w:after="120" w:line="240" w:lineRule="exact"/>
        <w:ind w:left="720" w:right="187" w:firstLine="0"/>
        <w:jc w:val="both"/>
        <w:rPr>
          <w:sz w:val="22"/>
          <w:szCs w:val="20"/>
        </w:rPr>
      </w:pPr>
      <w:r>
        <w:rPr>
          <w:sz w:val="22"/>
          <w:szCs w:val="20"/>
        </w:rPr>
        <w:t>The “</w:t>
      </w:r>
      <w:r w:rsidRPr="001C1D00">
        <w:rPr>
          <w:sz w:val="22"/>
          <w:szCs w:val="20"/>
        </w:rPr>
        <w:t>directly or indirectly carrying on the activity with repetition, regularity or continuity</w:t>
      </w:r>
      <w:r>
        <w:rPr>
          <w:sz w:val="22"/>
          <w:szCs w:val="20"/>
        </w:rPr>
        <w:t xml:space="preserve">” </w:t>
      </w:r>
      <w:r w:rsidRPr="001C1D00">
        <w:rPr>
          <w:sz w:val="22"/>
          <w:szCs w:val="20"/>
        </w:rPr>
        <w:t xml:space="preserve">factor is difficult to apply in practice, particularly for buy-side institutions, since this factor theoretically captures all repeat participants in the over-the-counter derivatives market. </w:t>
      </w:r>
      <w:r>
        <w:rPr>
          <w:sz w:val="22"/>
          <w:szCs w:val="20"/>
        </w:rPr>
        <w:t>T</w:t>
      </w:r>
      <w:r w:rsidRPr="001C1D00">
        <w:rPr>
          <w:sz w:val="22"/>
          <w:szCs w:val="20"/>
        </w:rPr>
        <w:t>he Companion Policy clarifies</w:t>
      </w:r>
      <w:r>
        <w:rPr>
          <w:sz w:val="22"/>
          <w:szCs w:val="20"/>
        </w:rPr>
        <w:t xml:space="preserve"> that </w:t>
      </w:r>
      <w:r w:rsidRPr="001C1D00">
        <w:rPr>
          <w:sz w:val="22"/>
          <w:szCs w:val="20"/>
        </w:rPr>
        <w:t>“organized and repetitive proprietary trading, in and of itself, absent other factors described above, may not result in a person or company being considered to be a derivatives dealer for the purposes of the [</w:t>
      </w:r>
      <w:r>
        <w:rPr>
          <w:sz w:val="22"/>
          <w:szCs w:val="20"/>
        </w:rPr>
        <w:t>Business Conduct Rule</w:t>
      </w:r>
      <w:r w:rsidRPr="001C1D00">
        <w:rPr>
          <w:sz w:val="22"/>
          <w:szCs w:val="20"/>
        </w:rPr>
        <w:t>].”</w:t>
      </w:r>
    </w:p>
    <w:bookmarkEnd w:id="10"/>
    <w:p w14:paraId="08D74E14" w14:textId="77777777" w:rsidR="00FE6C6E" w:rsidRPr="007D4E7F" w:rsidRDefault="00201EFA" w:rsidP="00FE6C6E">
      <w:pPr>
        <w:pStyle w:val="BodyText"/>
        <w:spacing w:before="100" w:beforeAutospacing="1" w:after="120" w:line="240" w:lineRule="exact"/>
        <w:ind w:left="720" w:right="187" w:firstLine="0"/>
        <w:jc w:val="both"/>
        <w:rPr>
          <w:sz w:val="22"/>
          <w:szCs w:val="20"/>
        </w:rPr>
      </w:pPr>
      <w:r w:rsidRPr="007D4E7F">
        <w:rPr>
          <w:sz w:val="22"/>
          <w:szCs w:val="20"/>
        </w:rPr>
        <w:t xml:space="preserve">(b) in Québec, a dealer as that term is defined in the </w:t>
      </w:r>
      <w:r w:rsidRPr="007D4E7F">
        <w:rPr>
          <w:i/>
          <w:iCs/>
          <w:sz w:val="22"/>
          <w:szCs w:val="20"/>
        </w:rPr>
        <w:t xml:space="preserve">Derivatives Act </w:t>
      </w:r>
      <w:r w:rsidRPr="007D4E7F">
        <w:rPr>
          <w:sz w:val="22"/>
          <w:szCs w:val="20"/>
        </w:rPr>
        <w:t>(Québec</w:t>
      </w:r>
      <w:proofErr w:type="gramStart"/>
      <w:r w:rsidRPr="007D4E7F">
        <w:rPr>
          <w:sz w:val="22"/>
          <w:szCs w:val="20"/>
        </w:rPr>
        <w:t>);</w:t>
      </w:r>
      <w:proofErr w:type="gramEnd"/>
      <w:r w:rsidRPr="007D4E7F">
        <w:rPr>
          <w:sz w:val="22"/>
          <w:szCs w:val="20"/>
        </w:rPr>
        <w:t xml:space="preserve"> </w:t>
      </w:r>
    </w:p>
    <w:p w14:paraId="46DAFF60" w14:textId="77777777" w:rsidR="00FE6C6E" w:rsidRPr="007D4E7F" w:rsidRDefault="00201EFA" w:rsidP="00FE6C6E">
      <w:pPr>
        <w:pStyle w:val="BodyText"/>
        <w:spacing w:before="100" w:beforeAutospacing="1" w:after="120" w:line="240" w:lineRule="exact"/>
        <w:ind w:left="720" w:right="187" w:firstLine="0"/>
        <w:jc w:val="both"/>
        <w:rPr>
          <w:sz w:val="22"/>
          <w:szCs w:val="20"/>
        </w:rPr>
      </w:pPr>
      <w:r w:rsidRPr="007D4E7F">
        <w:rPr>
          <w:sz w:val="22"/>
          <w:szCs w:val="20"/>
        </w:rPr>
        <w:t>(c) any other person or company required to be registered as a derivatives dealer under securities legislation of a jurisdiction of Canada</w:t>
      </w:r>
      <w:r w:rsidRPr="007D4E7F">
        <w:rPr>
          <w:sz w:val="22"/>
          <w:szCs w:val="20"/>
          <w:lang w:val="en-CA"/>
        </w:rPr>
        <w:t>.</w:t>
      </w:r>
    </w:p>
    <w:p w14:paraId="5A83E2DC" w14:textId="77777777" w:rsidR="00FE6C6E" w:rsidRDefault="00201EFA" w:rsidP="00FE6C6E">
      <w:pPr>
        <w:pStyle w:val="BodyText"/>
        <w:spacing w:before="100" w:beforeAutospacing="1" w:after="100" w:afterAutospacing="1" w:line="240" w:lineRule="auto"/>
        <w:ind w:right="187" w:firstLine="0"/>
        <w:jc w:val="both"/>
        <w:rPr>
          <w:sz w:val="22"/>
          <w:szCs w:val="20"/>
          <w:lang w:val="en-CA"/>
        </w:rPr>
      </w:pPr>
      <w:r w:rsidRPr="007D4E7F">
        <w:rPr>
          <w:bCs/>
          <w:sz w:val="22"/>
          <w:szCs w:val="20"/>
          <w:lang w:val="en-CA"/>
        </w:rPr>
        <w:t>“</w:t>
      </w:r>
      <w:r w:rsidRPr="007D4E7F">
        <w:rPr>
          <w:b/>
          <w:sz w:val="22"/>
          <w:szCs w:val="20"/>
          <w:lang w:val="en-CA"/>
        </w:rPr>
        <w:t>derivatives firm</w:t>
      </w:r>
      <w:r w:rsidRPr="007D4E7F">
        <w:rPr>
          <w:bCs/>
          <w:sz w:val="22"/>
          <w:szCs w:val="20"/>
          <w:lang w:val="en-CA"/>
        </w:rPr>
        <w:t>”</w:t>
      </w:r>
      <w:r w:rsidRPr="007D4E7F">
        <w:rPr>
          <w:sz w:val="22"/>
          <w:szCs w:val="20"/>
          <w:lang w:val="en-CA"/>
        </w:rPr>
        <w:t xml:space="preserve"> means a derivatives dealer or a derivatives adviser, as applicable.</w:t>
      </w:r>
    </w:p>
    <w:p w14:paraId="10A2FBB9" w14:textId="77777777" w:rsidR="00FE6C6E" w:rsidRPr="007D4E7F" w:rsidRDefault="00201EFA" w:rsidP="00FE6C6E">
      <w:pPr>
        <w:pStyle w:val="BodyText"/>
        <w:spacing w:before="100" w:beforeAutospacing="1" w:after="100" w:afterAutospacing="1" w:line="240" w:lineRule="auto"/>
        <w:ind w:right="187" w:firstLine="0"/>
        <w:jc w:val="both"/>
        <w:rPr>
          <w:sz w:val="22"/>
          <w:szCs w:val="20"/>
          <w:lang w:val="en-CA"/>
        </w:rPr>
      </w:pPr>
      <w:r w:rsidRPr="007D4E7F">
        <w:rPr>
          <w:bCs/>
          <w:sz w:val="22"/>
          <w:szCs w:val="20"/>
          <w:lang w:val="en-CA"/>
        </w:rPr>
        <w:t>“</w:t>
      </w:r>
      <w:r w:rsidRPr="007D4E7F">
        <w:rPr>
          <w:b/>
          <w:sz w:val="22"/>
          <w:szCs w:val="20"/>
          <w:lang w:val="en-CA"/>
        </w:rPr>
        <w:t>derivatives party</w:t>
      </w:r>
      <w:r w:rsidRPr="007D4E7F">
        <w:rPr>
          <w:bCs/>
          <w:sz w:val="22"/>
          <w:szCs w:val="20"/>
          <w:lang w:val="en-CA"/>
        </w:rPr>
        <w:t>”</w:t>
      </w:r>
      <w:r w:rsidRPr="007D4E7F">
        <w:rPr>
          <w:sz w:val="22"/>
          <w:szCs w:val="20"/>
          <w:lang w:val="en-CA"/>
        </w:rPr>
        <w:t xml:space="preserve"> means:</w:t>
      </w:r>
    </w:p>
    <w:p w14:paraId="579FADF7" w14:textId="77777777" w:rsidR="00FE6C6E" w:rsidRPr="007D4E7F" w:rsidRDefault="00201EFA" w:rsidP="00FE6C6E">
      <w:pPr>
        <w:pStyle w:val="BodyText"/>
        <w:spacing w:before="100" w:beforeAutospacing="1" w:after="100" w:afterAutospacing="1" w:line="240" w:lineRule="auto"/>
        <w:ind w:left="720" w:right="187" w:firstLine="0"/>
        <w:jc w:val="both"/>
        <w:rPr>
          <w:sz w:val="22"/>
          <w:szCs w:val="20"/>
          <w:lang w:val="en-CA"/>
        </w:rPr>
      </w:pPr>
      <w:r w:rsidRPr="007D4E7F">
        <w:rPr>
          <w:sz w:val="22"/>
          <w:szCs w:val="20"/>
          <w:lang w:val="en-CA"/>
        </w:rPr>
        <w:t>(a) in relation to a derivatives dealer, any of the following:</w:t>
      </w:r>
    </w:p>
    <w:p w14:paraId="23E1BAB1" w14:textId="77777777" w:rsidR="00FE6C6E" w:rsidRPr="007D4E7F" w:rsidRDefault="00201EFA" w:rsidP="00FE6C6E">
      <w:pPr>
        <w:pStyle w:val="BodyText"/>
        <w:spacing w:before="100" w:beforeAutospacing="1" w:after="100" w:afterAutospacing="1" w:line="240" w:lineRule="auto"/>
        <w:ind w:left="1440" w:right="187" w:firstLine="0"/>
        <w:jc w:val="both"/>
        <w:rPr>
          <w:sz w:val="22"/>
          <w:szCs w:val="20"/>
          <w:lang w:val="en-CA"/>
        </w:rPr>
      </w:pPr>
      <w:r w:rsidRPr="007D4E7F">
        <w:rPr>
          <w:sz w:val="22"/>
          <w:szCs w:val="20"/>
          <w:lang w:val="en-CA"/>
        </w:rPr>
        <w:t xml:space="preserve">(i) a person or company for which the derivatives dealer acts or proposes to act as an agent in relation to a </w:t>
      </w:r>
      <w:proofErr w:type="gramStart"/>
      <w:r w:rsidRPr="007D4E7F">
        <w:rPr>
          <w:sz w:val="22"/>
          <w:szCs w:val="20"/>
          <w:lang w:val="en-CA"/>
        </w:rPr>
        <w:t>Transaction;</w:t>
      </w:r>
      <w:proofErr w:type="gramEnd"/>
    </w:p>
    <w:p w14:paraId="25C3E99A" w14:textId="77777777" w:rsidR="00FE6C6E" w:rsidRPr="007D4E7F" w:rsidRDefault="00201EFA" w:rsidP="00FE6C6E">
      <w:pPr>
        <w:pStyle w:val="BodyText"/>
        <w:spacing w:before="100" w:beforeAutospacing="1" w:after="100" w:afterAutospacing="1" w:line="240" w:lineRule="auto"/>
        <w:ind w:left="1440" w:right="187" w:firstLine="0"/>
        <w:jc w:val="both"/>
        <w:rPr>
          <w:sz w:val="22"/>
          <w:szCs w:val="20"/>
          <w:lang w:val="en-CA"/>
        </w:rPr>
      </w:pPr>
      <w:r w:rsidRPr="007D4E7F">
        <w:rPr>
          <w:sz w:val="22"/>
          <w:szCs w:val="20"/>
          <w:lang w:val="en-CA"/>
        </w:rPr>
        <w:t>(ii) a person or company that is, or is proposed to be, a party to a derivative for which the derivatives dealer is the counterparty; and</w:t>
      </w:r>
    </w:p>
    <w:p w14:paraId="67E56F7E" w14:textId="77777777" w:rsidR="00FE6C6E" w:rsidRDefault="00201EFA" w:rsidP="00FE6C6E">
      <w:pPr>
        <w:pStyle w:val="BodyText"/>
        <w:spacing w:before="100" w:beforeAutospacing="1" w:after="120" w:line="240" w:lineRule="exact"/>
        <w:ind w:left="720" w:right="187" w:firstLine="0"/>
        <w:jc w:val="both"/>
        <w:rPr>
          <w:sz w:val="22"/>
          <w:szCs w:val="20"/>
          <w:lang w:val="en-CA"/>
        </w:rPr>
      </w:pPr>
      <w:r w:rsidRPr="007D4E7F">
        <w:rPr>
          <w:sz w:val="22"/>
          <w:szCs w:val="20"/>
          <w:lang w:val="en-CA"/>
        </w:rPr>
        <w:t>(b) in relation to a derivatives adviser, a person or company to which the adviser provides or proposes to provide advice in relation to a derivative.</w:t>
      </w:r>
    </w:p>
    <w:p w14:paraId="67F3179A" w14:textId="77777777" w:rsidR="00FE6C6E" w:rsidRDefault="00201EFA" w:rsidP="00FE6C6E">
      <w:pPr>
        <w:pStyle w:val="BodyText"/>
        <w:spacing w:before="100" w:beforeAutospacing="1" w:after="120" w:line="240" w:lineRule="exact"/>
        <w:ind w:right="187" w:firstLine="0"/>
        <w:jc w:val="both"/>
        <w:rPr>
          <w:sz w:val="22"/>
          <w:szCs w:val="20"/>
          <w:lang w:val="en-CA"/>
        </w:rPr>
      </w:pPr>
      <w:r w:rsidRPr="007D4E7F">
        <w:rPr>
          <w:bCs/>
          <w:sz w:val="22"/>
          <w:szCs w:val="20"/>
          <w:lang w:val="en-CA"/>
        </w:rPr>
        <w:t>“</w:t>
      </w:r>
      <w:r w:rsidRPr="007D4E7F">
        <w:rPr>
          <w:b/>
          <w:sz w:val="22"/>
          <w:szCs w:val="20"/>
          <w:lang w:val="en-CA"/>
        </w:rPr>
        <w:t>Eligible Commercial Hedger</w:t>
      </w:r>
      <w:r w:rsidRPr="007D4E7F">
        <w:rPr>
          <w:bCs/>
          <w:sz w:val="22"/>
          <w:szCs w:val="20"/>
          <w:lang w:val="en-CA"/>
        </w:rPr>
        <w:t>”</w:t>
      </w:r>
      <w:r w:rsidRPr="007D4E7F">
        <w:rPr>
          <w:sz w:val="22"/>
          <w:szCs w:val="20"/>
          <w:lang w:val="en-CA"/>
        </w:rPr>
        <w:t xml:space="preserve"> means a person or company that </w:t>
      </w:r>
      <w:r>
        <w:rPr>
          <w:sz w:val="22"/>
          <w:szCs w:val="20"/>
          <w:lang w:val="en-CA"/>
        </w:rPr>
        <w:t xml:space="preserve">is a Commercial Hedger in relation to the derivatives that it transacts with the derivatives firm, as described under Part I, item 3, paragraph (n), and is not described under any of the other paragraphs under Part I, item 3. </w:t>
      </w:r>
    </w:p>
    <w:p w14:paraId="73DD5F2F" w14:textId="77777777" w:rsidR="00FE6C6E" w:rsidRDefault="00201EFA" w:rsidP="00FE6C6E">
      <w:pPr>
        <w:spacing w:before="100" w:beforeAutospacing="1" w:after="100" w:afterAutospacing="1" w:line="240" w:lineRule="auto"/>
        <w:ind w:right="187"/>
        <w:jc w:val="both"/>
        <w:rPr>
          <w:bCs/>
          <w:sz w:val="22"/>
          <w:szCs w:val="20"/>
          <w:lang w:val="en-CA"/>
        </w:rPr>
      </w:pPr>
      <w:r w:rsidRPr="000F7A60">
        <w:rPr>
          <w:sz w:val="22"/>
          <w:szCs w:val="20"/>
          <w:lang w:val="en-CA"/>
        </w:rPr>
        <w:t>“</w:t>
      </w:r>
      <w:r w:rsidRPr="000F7A60">
        <w:rPr>
          <w:b/>
          <w:bCs/>
          <w:sz w:val="22"/>
          <w:szCs w:val="20"/>
        </w:rPr>
        <w:t>Eligible Derivatives Party</w:t>
      </w:r>
      <w:r w:rsidRPr="000F7A60">
        <w:rPr>
          <w:sz w:val="22"/>
          <w:szCs w:val="20"/>
        </w:rPr>
        <w:t>” means</w:t>
      </w:r>
      <w:r w:rsidRPr="000F7A60">
        <w:rPr>
          <w:bCs/>
          <w:sz w:val="22"/>
          <w:szCs w:val="20"/>
          <w:lang w:val="en-CA"/>
        </w:rPr>
        <w:t xml:space="preserve"> any of the following:</w:t>
      </w:r>
    </w:p>
    <w:p w14:paraId="0E999207" w14:textId="77777777" w:rsidR="00FE6C6E" w:rsidRPr="000F7A60" w:rsidRDefault="00201EFA" w:rsidP="00FE6C6E">
      <w:pPr>
        <w:spacing w:before="100" w:beforeAutospacing="1" w:after="120" w:line="240" w:lineRule="exact"/>
        <w:ind w:left="720" w:right="187"/>
        <w:jc w:val="both"/>
        <w:rPr>
          <w:sz w:val="22"/>
          <w:szCs w:val="20"/>
        </w:rPr>
      </w:pPr>
      <w:r w:rsidRPr="000F7A60">
        <w:rPr>
          <w:sz w:val="22"/>
          <w:szCs w:val="20"/>
        </w:rPr>
        <w:lastRenderedPageBreak/>
        <w:t xml:space="preserve">(a) a Canadian financial </w:t>
      </w:r>
      <w:proofErr w:type="gramStart"/>
      <w:r w:rsidRPr="000F7A60">
        <w:rPr>
          <w:sz w:val="22"/>
          <w:szCs w:val="20"/>
        </w:rPr>
        <w:t>institution;</w:t>
      </w:r>
      <w:proofErr w:type="gramEnd"/>
    </w:p>
    <w:p w14:paraId="3483C513" w14:textId="77777777" w:rsidR="00FE6C6E" w:rsidRPr="000F7A60" w:rsidRDefault="00201EFA" w:rsidP="00FE6C6E">
      <w:pPr>
        <w:spacing w:before="100" w:beforeAutospacing="1" w:after="120" w:line="240" w:lineRule="exact"/>
        <w:ind w:left="720" w:right="187"/>
        <w:jc w:val="both"/>
        <w:rPr>
          <w:sz w:val="22"/>
          <w:szCs w:val="20"/>
        </w:rPr>
      </w:pPr>
      <w:r w:rsidRPr="000F7A60">
        <w:rPr>
          <w:sz w:val="22"/>
          <w:szCs w:val="20"/>
        </w:rPr>
        <w:t xml:space="preserve">(b)  the Business Development Bank of Canada continued under the </w:t>
      </w:r>
      <w:r w:rsidRPr="000F7A60">
        <w:rPr>
          <w:i/>
          <w:iCs/>
          <w:sz w:val="22"/>
          <w:szCs w:val="20"/>
        </w:rPr>
        <w:t xml:space="preserve">Business Development Bank of Canada Act </w:t>
      </w:r>
      <w:r w:rsidRPr="000F7A60">
        <w:rPr>
          <w:sz w:val="22"/>
          <w:szCs w:val="20"/>
        </w:rPr>
        <w:t>(Canada</w:t>
      </w:r>
      <w:proofErr w:type="gramStart"/>
      <w:r w:rsidRPr="000F7A60">
        <w:rPr>
          <w:sz w:val="22"/>
          <w:szCs w:val="20"/>
        </w:rPr>
        <w:t>);</w:t>
      </w:r>
      <w:proofErr w:type="gramEnd"/>
    </w:p>
    <w:p w14:paraId="3E2C3C06" w14:textId="77777777" w:rsidR="00FE6C6E" w:rsidRPr="000F7A60" w:rsidRDefault="00201EFA" w:rsidP="00FE6C6E">
      <w:pPr>
        <w:spacing w:before="100" w:beforeAutospacing="1" w:after="120" w:line="240" w:lineRule="exact"/>
        <w:ind w:left="720" w:right="187"/>
        <w:jc w:val="both"/>
        <w:rPr>
          <w:sz w:val="22"/>
          <w:szCs w:val="20"/>
        </w:rPr>
      </w:pPr>
      <w:r w:rsidRPr="000F7A60">
        <w:rPr>
          <w:sz w:val="22"/>
          <w:szCs w:val="20"/>
        </w:rPr>
        <w:t xml:space="preserve">(c) a subsidiary of a person or company referred to in paragraph (a) or (b), if the person or company owns all of the voting securities of the subsidiary, except the voting securities required by law to be owned by directors of the </w:t>
      </w:r>
      <w:proofErr w:type="gramStart"/>
      <w:r w:rsidRPr="000F7A60">
        <w:rPr>
          <w:sz w:val="22"/>
          <w:szCs w:val="20"/>
        </w:rPr>
        <w:t>subsidiary;</w:t>
      </w:r>
      <w:proofErr w:type="gramEnd"/>
    </w:p>
    <w:p w14:paraId="42078F04" w14:textId="77777777" w:rsidR="00FE6C6E" w:rsidRPr="000F7A60" w:rsidRDefault="00201EFA" w:rsidP="00FE6C6E">
      <w:pPr>
        <w:spacing w:before="100" w:beforeAutospacing="1" w:after="120" w:line="240" w:lineRule="exact"/>
        <w:ind w:left="720" w:right="187"/>
        <w:jc w:val="both"/>
        <w:rPr>
          <w:sz w:val="22"/>
          <w:szCs w:val="20"/>
        </w:rPr>
      </w:pPr>
      <w:r w:rsidRPr="000F7A60">
        <w:rPr>
          <w:sz w:val="22"/>
          <w:szCs w:val="20"/>
        </w:rPr>
        <w:t>(d) a person or company registered under the securities legislation of a jurisdiction of Canada as any of the following:</w:t>
      </w:r>
    </w:p>
    <w:p w14:paraId="37066851" w14:textId="77777777" w:rsidR="00FE6C6E" w:rsidRPr="000F7A60" w:rsidRDefault="00201EFA" w:rsidP="00FE6C6E">
      <w:pPr>
        <w:spacing w:before="100" w:beforeAutospacing="1" w:after="0"/>
        <w:ind w:left="720"/>
        <w:rPr>
          <w:sz w:val="22"/>
          <w:szCs w:val="20"/>
        </w:rPr>
      </w:pPr>
      <w:r w:rsidRPr="000F7A60">
        <w:rPr>
          <w:sz w:val="22"/>
          <w:szCs w:val="20"/>
        </w:rPr>
        <w:tab/>
        <w:t>(i) a derivatives dealer;</w:t>
      </w:r>
      <w:r w:rsidRPr="000F7A60">
        <w:rPr>
          <w:sz w:val="22"/>
          <w:szCs w:val="20"/>
        </w:rPr>
        <w:br/>
      </w:r>
      <w:r w:rsidRPr="000F7A60">
        <w:rPr>
          <w:sz w:val="22"/>
          <w:szCs w:val="20"/>
        </w:rPr>
        <w:tab/>
        <w:t xml:space="preserve">(ii) a derivatives </w:t>
      </w:r>
      <w:proofErr w:type="gramStart"/>
      <w:r w:rsidRPr="000F7A60">
        <w:rPr>
          <w:sz w:val="22"/>
          <w:szCs w:val="20"/>
        </w:rPr>
        <w:t>adviser;</w:t>
      </w:r>
      <w:proofErr w:type="gramEnd"/>
    </w:p>
    <w:p w14:paraId="0BDCB96E" w14:textId="77777777" w:rsidR="00FE6C6E" w:rsidRPr="000F7A60" w:rsidRDefault="00201EFA" w:rsidP="00FE6C6E">
      <w:pPr>
        <w:spacing w:after="0"/>
        <w:ind w:left="720" w:firstLine="720"/>
        <w:rPr>
          <w:sz w:val="22"/>
          <w:szCs w:val="20"/>
        </w:rPr>
      </w:pPr>
      <w:r w:rsidRPr="000F7A60">
        <w:rPr>
          <w:sz w:val="22"/>
          <w:szCs w:val="20"/>
        </w:rPr>
        <w:t xml:space="preserve">(iii) an </w:t>
      </w:r>
      <w:proofErr w:type="gramStart"/>
      <w:r w:rsidRPr="000F7A60">
        <w:rPr>
          <w:sz w:val="22"/>
          <w:szCs w:val="20"/>
        </w:rPr>
        <w:t>adviser;</w:t>
      </w:r>
      <w:proofErr w:type="gramEnd"/>
    </w:p>
    <w:p w14:paraId="2DC267CF" w14:textId="77777777" w:rsidR="00FE6C6E" w:rsidRPr="000F7A60" w:rsidRDefault="00201EFA" w:rsidP="00FE6C6E">
      <w:pPr>
        <w:spacing w:after="100" w:afterAutospacing="1"/>
        <w:ind w:left="720" w:firstLine="720"/>
        <w:rPr>
          <w:sz w:val="22"/>
          <w:szCs w:val="20"/>
        </w:rPr>
      </w:pPr>
      <w:r w:rsidRPr="000F7A60">
        <w:rPr>
          <w:sz w:val="22"/>
          <w:szCs w:val="20"/>
        </w:rPr>
        <w:t xml:space="preserve">(iv) an investment </w:t>
      </w:r>
      <w:proofErr w:type="gramStart"/>
      <w:r w:rsidRPr="000F7A60">
        <w:rPr>
          <w:sz w:val="22"/>
          <w:szCs w:val="20"/>
        </w:rPr>
        <w:t>dealer;</w:t>
      </w:r>
      <w:proofErr w:type="gramEnd"/>
    </w:p>
    <w:p w14:paraId="1615488B" w14:textId="77777777" w:rsidR="00FE6C6E" w:rsidRPr="000F7A60" w:rsidRDefault="00201EFA" w:rsidP="00FE6C6E">
      <w:pPr>
        <w:spacing w:before="100" w:beforeAutospacing="1" w:after="120" w:line="240" w:lineRule="exact"/>
        <w:ind w:left="720" w:right="187"/>
        <w:jc w:val="both"/>
        <w:rPr>
          <w:sz w:val="22"/>
          <w:szCs w:val="20"/>
        </w:rPr>
      </w:pPr>
      <w:r w:rsidRPr="000F7A60">
        <w:rPr>
          <w:sz w:val="22"/>
          <w:szCs w:val="20"/>
        </w:rPr>
        <w:t xml:space="preserve">(e) a pension fund that is regulated by the federal Office of the Superintendent of Financial Institutions or a pension commission or similar regulatory authority of a jurisdiction of Canada or a </w:t>
      </w:r>
      <w:proofErr w:type="gramStart"/>
      <w:r w:rsidRPr="000F7A60">
        <w:rPr>
          <w:sz w:val="22"/>
          <w:szCs w:val="20"/>
        </w:rPr>
        <w:t>wholly-owned</w:t>
      </w:r>
      <w:proofErr w:type="gramEnd"/>
      <w:r w:rsidRPr="000F7A60">
        <w:rPr>
          <w:sz w:val="22"/>
          <w:szCs w:val="20"/>
        </w:rPr>
        <w:t xml:space="preserve"> subsidiary of the pension fund;</w:t>
      </w:r>
    </w:p>
    <w:p w14:paraId="498CB5E4" w14:textId="77777777" w:rsidR="00FE6C6E" w:rsidRPr="000F7A60" w:rsidRDefault="00201EFA" w:rsidP="00FE6C6E">
      <w:pPr>
        <w:spacing w:before="100" w:beforeAutospacing="1" w:after="120" w:line="240" w:lineRule="exact"/>
        <w:ind w:left="720" w:right="187"/>
        <w:jc w:val="both"/>
        <w:rPr>
          <w:sz w:val="22"/>
          <w:szCs w:val="20"/>
        </w:rPr>
      </w:pPr>
      <w:r w:rsidRPr="000F7A60">
        <w:rPr>
          <w:sz w:val="22"/>
          <w:szCs w:val="20"/>
        </w:rPr>
        <w:t>(f) an entity organized under the laws of a foreign jurisdiction that is analogous to any of the entities referred to in paragraphs (a) to (e</w:t>
      </w:r>
      <w:proofErr w:type="gramStart"/>
      <w:r w:rsidRPr="000F7A60">
        <w:rPr>
          <w:sz w:val="22"/>
          <w:szCs w:val="20"/>
        </w:rPr>
        <w:t>);</w:t>
      </w:r>
      <w:proofErr w:type="gramEnd"/>
    </w:p>
    <w:p w14:paraId="362ACAEA" w14:textId="77777777" w:rsidR="00FE6C6E" w:rsidRPr="000F7A60" w:rsidRDefault="00201EFA" w:rsidP="00FE6C6E">
      <w:pPr>
        <w:spacing w:before="100" w:beforeAutospacing="1" w:after="120" w:line="240" w:lineRule="exact"/>
        <w:ind w:left="720" w:right="187"/>
        <w:jc w:val="both"/>
        <w:rPr>
          <w:sz w:val="22"/>
          <w:szCs w:val="20"/>
        </w:rPr>
      </w:pPr>
      <w:r w:rsidRPr="000F7A60">
        <w:rPr>
          <w:sz w:val="22"/>
          <w:szCs w:val="20"/>
        </w:rPr>
        <w:t xml:space="preserve">(g) the Government of Canada or the government of a jurisdiction of Canada, or any crown corporation, agency or </w:t>
      </w:r>
      <w:proofErr w:type="gramStart"/>
      <w:r w:rsidRPr="000F7A60">
        <w:rPr>
          <w:sz w:val="22"/>
          <w:szCs w:val="20"/>
        </w:rPr>
        <w:t>wholly-owned</w:t>
      </w:r>
      <w:proofErr w:type="gramEnd"/>
      <w:r w:rsidRPr="000F7A60">
        <w:rPr>
          <w:sz w:val="22"/>
          <w:szCs w:val="20"/>
        </w:rPr>
        <w:t xml:space="preserve"> entity of the Government of Canada or the government of a jurisdiction of Canada;</w:t>
      </w:r>
    </w:p>
    <w:p w14:paraId="22B739BE" w14:textId="77777777" w:rsidR="00FE6C6E" w:rsidRPr="000F7A60" w:rsidRDefault="00201EFA" w:rsidP="00FE6C6E">
      <w:pPr>
        <w:spacing w:before="100" w:beforeAutospacing="1" w:after="100" w:afterAutospacing="1"/>
        <w:ind w:left="720"/>
        <w:rPr>
          <w:sz w:val="22"/>
          <w:szCs w:val="20"/>
        </w:rPr>
      </w:pPr>
      <w:r w:rsidRPr="000F7A60">
        <w:rPr>
          <w:sz w:val="22"/>
          <w:szCs w:val="20"/>
        </w:rPr>
        <w:t xml:space="preserve">(h) a government of a foreign jurisdiction or any agency of that </w:t>
      </w:r>
      <w:proofErr w:type="gramStart"/>
      <w:r w:rsidRPr="000F7A60">
        <w:rPr>
          <w:sz w:val="22"/>
          <w:szCs w:val="20"/>
        </w:rPr>
        <w:t>government;</w:t>
      </w:r>
      <w:proofErr w:type="gramEnd"/>
    </w:p>
    <w:p w14:paraId="6A2EF37B" w14:textId="77777777" w:rsidR="00FE6C6E" w:rsidRPr="000F7A60" w:rsidRDefault="00201EFA" w:rsidP="00FE6C6E">
      <w:pPr>
        <w:spacing w:before="100" w:beforeAutospacing="1" w:after="120" w:line="240" w:lineRule="exact"/>
        <w:ind w:left="720" w:right="187"/>
        <w:jc w:val="both"/>
        <w:rPr>
          <w:sz w:val="22"/>
          <w:szCs w:val="20"/>
        </w:rPr>
      </w:pPr>
      <w:r w:rsidRPr="000F7A60">
        <w:rPr>
          <w:sz w:val="22"/>
          <w:szCs w:val="20"/>
        </w:rPr>
        <w:t xml:space="preserve">(i) a municipality, public board or commission in Canada and a metropolitan community, school board, the </w:t>
      </w:r>
      <w:proofErr w:type="spellStart"/>
      <w:r w:rsidRPr="000F7A60">
        <w:rPr>
          <w:sz w:val="22"/>
          <w:szCs w:val="20"/>
        </w:rPr>
        <w:t>Comité</w:t>
      </w:r>
      <w:proofErr w:type="spellEnd"/>
      <w:r w:rsidRPr="000F7A60">
        <w:rPr>
          <w:sz w:val="22"/>
          <w:szCs w:val="20"/>
        </w:rPr>
        <w:t xml:space="preserve"> de gestion de la </w:t>
      </w:r>
      <w:proofErr w:type="spellStart"/>
      <w:r w:rsidRPr="000F7A60">
        <w:rPr>
          <w:sz w:val="22"/>
          <w:szCs w:val="20"/>
        </w:rPr>
        <w:t>taxe</w:t>
      </w:r>
      <w:proofErr w:type="spellEnd"/>
      <w:r w:rsidRPr="000F7A60">
        <w:rPr>
          <w:sz w:val="22"/>
          <w:szCs w:val="20"/>
        </w:rPr>
        <w:t xml:space="preserve"> </w:t>
      </w:r>
      <w:proofErr w:type="spellStart"/>
      <w:r w:rsidRPr="000F7A60">
        <w:rPr>
          <w:sz w:val="22"/>
          <w:szCs w:val="20"/>
        </w:rPr>
        <w:t>scolaire</w:t>
      </w:r>
      <w:proofErr w:type="spellEnd"/>
      <w:r w:rsidRPr="000F7A60">
        <w:rPr>
          <w:sz w:val="22"/>
          <w:szCs w:val="20"/>
        </w:rPr>
        <w:t xml:space="preserve"> de </w:t>
      </w:r>
      <w:proofErr w:type="spellStart"/>
      <w:r w:rsidRPr="000F7A60">
        <w:rPr>
          <w:sz w:val="22"/>
          <w:szCs w:val="20"/>
        </w:rPr>
        <w:t>l’île</w:t>
      </w:r>
      <w:proofErr w:type="spellEnd"/>
      <w:r w:rsidRPr="000F7A60">
        <w:rPr>
          <w:sz w:val="22"/>
          <w:szCs w:val="20"/>
        </w:rPr>
        <w:t xml:space="preserve"> de Montréal or an intermunicipal management board in </w:t>
      </w:r>
      <w:proofErr w:type="gramStart"/>
      <w:r w:rsidRPr="000F7A60">
        <w:rPr>
          <w:sz w:val="22"/>
          <w:szCs w:val="20"/>
        </w:rPr>
        <w:t>Québec;</w:t>
      </w:r>
      <w:proofErr w:type="gramEnd"/>
    </w:p>
    <w:p w14:paraId="263F9E23" w14:textId="77777777" w:rsidR="00FE6C6E" w:rsidRPr="000F7A60" w:rsidRDefault="00201EFA" w:rsidP="00FE6C6E">
      <w:pPr>
        <w:spacing w:before="100" w:beforeAutospacing="1" w:after="120" w:line="240" w:lineRule="exact"/>
        <w:ind w:left="720" w:right="187"/>
        <w:jc w:val="both"/>
        <w:rPr>
          <w:sz w:val="22"/>
          <w:szCs w:val="20"/>
        </w:rPr>
      </w:pPr>
      <w:r w:rsidRPr="000F7A60">
        <w:rPr>
          <w:sz w:val="22"/>
          <w:szCs w:val="20"/>
        </w:rPr>
        <w:t xml:space="preserve">(j) a trust company or trust corporation registered or authorized to carry on business under the </w:t>
      </w:r>
      <w:r w:rsidRPr="000F7A60">
        <w:rPr>
          <w:i/>
          <w:iCs/>
          <w:sz w:val="22"/>
          <w:szCs w:val="20"/>
        </w:rPr>
        <w:t xml:space="preserve">Trust and Loan Companies Act </w:t>
      </w:r>
      <w:r w:rsidRPr="000F7A60">
        <w:rPr>
          <w:sz w:val="22"/>
          <w:szCs w:val="20"/>
        </w:rPr>
        <w:t xml:space="preserve">(Canada) or under comparable legislation in a jurisdiction of Canada or a foreign jurisdiction, acting on behalf of a managed account managed by the trust company or trust corporation, as the case may </w:t>
      </w:r>
      <w:proofErr w:type="gramStart"/>
      <w:r w:rsidRPr="000F7A60">
        <w:rPr>
          <w:sz w:val="22"/>
          <w:szCs w:val="20"/>
        </w:rPr>
        <w:t>be;</w:t>
      </w:r>
      <w:proofErr w:type="gramEnd"/>
    </w:p>
    <w:p w14:paraId="71A26021" w14:textId="77777777" w:rsidR="00FE6C6E" w:rsidRPr="000F7A60" w:rsidRDefault="00201EFA" w:rsidP="00FE6C6E">
      <w:pPr>
        <w:spacing w:before="100" w:beforeAutospacing="1" w:after="120" w:line="240" w:lineRule="exact"/>
        <w:ind w:left="720" w:right="187"/>
        <w:jc w:val="both"/>
        <w:rPr>
          <w:sz w:val="22"/>
          <w:szCs w:val="20"/>
        </w:rPr>
      </w:pPr>
      <w:r w:rsidRPr="000F7A60">
        <w:rPr>
          <w:sz w:val="22"/>
          <w:szCs w:val="20"/>
        </w:rPr>
        <w:t xml:space="preserve">(k) a person or company that is acting on behalf of a managed account if the person or company is registered or authorized to carry on business as either of the following: (i) an adviser or a derivatives adviser in a jurisdiction of Canada or (ii) the equivalent of an adviser or a derivatives adviser under the securities legislation of a jurisdiction of Canada or a foreign </w:t>
      </w:r>
      <w:proofErr w:type="gramStart"/>
      <w:r w:rsidRPr="000F7A60">
        <w:rPr>
          <w:sz w:val="22"/>
          <w:szCs w:val="20"/>
        </w:rPr>
        <w:t>jurisdiction;</w:t>
      </w:r>
      <w:proofErr w:type="gramEnd"/>
    </w:p>
    <w:p w14:paraId="7D4ED3C3" w14:textId="77777777" w:rsidR="00FE6C6E" w:rsidRPr="000F7A60" w:rsidRDefault="00201EFA" w:rsidP="00FE6C6E">
      <w:pPr>
        <w:spacing w:before="100" w:beforeAutospacing="1" w:after="120" w:line="240" w:lineRule="exact"/>
        <w:ind w:left="720" w:right="187"/>
        <w:jc w:val="both"/>
        <w:rPr>
          <w:sz w:val="22"/>
          <w:szCs w:val="20"/>
        </w:rPr>
      </w:pPr>
      <w:r w:rsidRPr="000F7A60">
        <w:rPr>
          <w:sz w:val="22"/>
          <w:szCs w:val="20"/>
        </w:rPr>
        <w:t xml:space="preserve">(l) an investment fund if either of the following apply: (i) the investment fund is managed by a person or company registered as an investment fund manager under the securities legislation of a jurisdiction of Canada or (ii) the investment fund is advised by an adviser registered or exempted from registration under securities legislation or under commodity futures legislation of a jurisdiction of </w:t>
      </w:r>
      <w:proofErr w:type="gramStart"/>
      <w:r w:rsidRPr="000F7A60">
        <w:rPr>
          <w:sz w:val="22"/>
          <w:szCs w:val="20"/>
        </w:rPr>
        <w:t>Canada;</w:t>
      </w:r>
      <w:proofErr w:type="gramEnd"/>
    </w:p>
    <w:p w14:paraId="541ED0C2" w14:textId="77777777" w:rsidR="00FE6C6E" w:rsidRDefault="00201EFA" w:rsidP="00FE6C6E">
      <w:pPr>
        <w:spacing w:before="100" w:beforeAutospacing="1" w:after="120" w:line="240" w:lineRule="exact"/>
        <w:ind w:left="720" w:right="187"/>
        <w:jc w:val="both"/>
        <w:rPr>
          <w:sz w:val="22"/>
          <w:szCs w:val="20"/>
        </w:rPr>
      </w:pPr>
      <w:r w:rsidRPr="000F7A60">
        <w:rPr>
          <w:sz w:val="22"/>
          <w:szCs w:val="20"/>
        </w:rPr>
        <w:t>(m) a person or company, other than an individual, that has net assets</w:t>
      </w:r>
      <w:r>
        <w:rPr>
          <w:rStyle w:val="FootnoteReference"/>
          <w:sz w:val="22"/>
          <w:szCs w:val="20"/>
        </w:rPr>
        <w:footnoteReference w:id="15"/>
      </w:r>
      <w:r w:rsidRPr="000F7A60">
        <w:rPr>
          <w:sz w:val="22"/>
          <w:szCs w:val="20"/>
        </w:rPr>
        <w:t xml:space="preserve"> of at least C$25,000,000 as shown </w:t>
      </w:r>
      <w:proofErr w:type="gramStart"/>
      <w:r w:rsidRPr="000F7A60">
        <w:rPr>
          <w:sz w:val="22"/>
          <w:szCs w:val="20"/>
        </w:rPr>
        <w:t>on</w:t>
      </w:r>
      <w:proofErr w:type="gramEnd"/>
      <w:r w:rsidRPr="000F7A60">
        <w:rPr>
          <w:sz w:val="22"/>
          <w:szCs w:val="20"/>
        </w:rPr>
        <w:t xml:space="preserve"> its most recently prepared financial </w:t>
      </w:r>
      <w:proofErr w:type="gramStart"/>
      <w:r w:rsidRPr="000F7A60">
        <w:rPr>
          <w:sz w:val="22"/>
          <w:szCs w:val="20"/>
        </w:rPr>
        <w:t>statements;</w:t>
      </w:r>
      <w:proofErr w:type="gramEnd"/>
    </w:p>
    <w:p w14:paraId="3D3B7220" w14:textId="77777777" w:rsidR="00FE6C6E" w:rsidRPr="000F7A60" w:rsidRDefault="00201EFA" w:rsidP="00FE6C6E">
      <w:pPr>
        <w:spacing w:before="100" w:beforeAutospacing="1" w:after="120" w:line="240" w:lineRule="exact"/>
        <w:ind w:left="720" w:right="187"/>
        <w:jc w:val="both"/>
        <w:rPr>
          <w:sz w:val="22"/>
          <w:szCs w:val="20"/>
        </w:rPr>
      </w:pPr>
      <w:r w:rsidRPr="000F7A60">
        <w:rPr>
          <w:sz w:val="22"/>
          <w:szCs w:val="20"/>
        </w:rPr>
        <w:lastRenderedPageBreak/>
        <w:t xml:space="preserve">(n) a person or company that has represented to Recipient, in writing, that it is a Commercial Hedger in relation to the derivatives that it transacts with such derivatives </w:t>
      </w:r>
      <w:proofErr w:type="gramStart"/>
      <w:r w:rsidRPr="000F7A60">
        <w:rPr>
          <w:sz w:val="22"/>
          <w:szCs w:val="20"/>
        </w:rPr>
        <w:t>firm;</w:t>
      </w:r>
      <w:proofErr w:type="gramEnd"/>
    </w:p>
    <w:p w14:paraId="2C9612B0" w14:textId="77777777" w:rsidR="00FE6C6E" w:rsidRDefault="00201EFA" w:rsidP="00FE6C6E">
      <w:pPr>
        <w:spacing w:before="100" w:beforeAutospacing="1" w:after="120" w:line="240" w:lineRule="exact"/>
        <w:ind w:left="720" w:right="187"/>
        <w:jc w:val="both"/>
        <w:rPr>
          <w:sz w:val="22"/>
          <w:szCs w:val="20"/>
        </w:rPr>
      </w:pPr>
      <w:r w:rsidRPr="000F7A60">
        <w:rPr>
          <w:sz w:val="22"/>
          <w:szCs w:val="20"/>
        </w:rPr>
        <w:t xml:space="preserve">(o) an individual that beneficially owns </w:t>
      </w:r>
      <w:r>
        <w:rPr>
          <w:sz w:val="22"/>
          <w:szCs w:val="20"/>
        </w:rPr>
        <w:t>financial assets</w:t>
      </w:r>
      <w:r>
        <w:rPr>
          <w:rStyle w:val="FootnoteReference"/>
          <w:sz w:val="22"/>
          <w:szCs w:val="20"/>
        </w:rPr>
        <w:footnoteReference w:id="16"/>
      </w:r>
      <w:r w:rsidRPr="000F7A60">
        <w:rPr>
          <w:sz w:val="22"/>
          <w:szCs w:val="20"/>
        </w:rPr>
        <w:t xml:space="preserve"> that have an aggregate realizable value before tax but net of any related liabilities of at least C$</w:t>
      </w:r>
      <w:proofErr w:type="gramStart"/>
      <w:r w:rsidRPr="000F7A60">
        <w:rPr>
          <w:sz w:val="22"/>
          <w:szCs w:val="20"/>
        </w:rPr>
        <w:t>5,000,000;</w:t>
      </w:r>
      <w:proofErr w:type="gramEnd"/>
    </w:p>
    <w:p w14:paraId="1457B458" w14:textId="77777777" w:rsidR="00FE6C6E" w:rsidRPr="000F7A60" w:rsidRDefault="00201EFA" w:rsidP="00FE6C6E">
      <w:pPr>
        <w:spacing w:before="100" w:beforeAutospacing="1" w:after="120" w:line="240" w:lineRule="exact"/>
        <w:ind w:left="720" w:right="187"/>
        <w:jc w:val="both"/>
        <w:rPr>
          <w:sz w:val="22"/>
          <w:szCs w:val="20"/>
        </w:rPr>
      </w:pPr>
      <w:r w:rsidRPr="000F7A60">
        <w:rPr>
          <w:sz w:val="22"/>
          <w:szCs w:val="20"/>
        </w:rPr>
        <w:t>(p) a person or company, other than an individual, that has represented to the Recipient, in writing, that its obligations under derivatives that it transacts with such derivatives firm are fully guaranteed or otherwise fully supported, under a written agreement, by one or more derivatives parties referred to in this definition, other than a derivatives party referred to in paragraph (n) or (o);</w:t>
      </w:r>
    </w:p>
    <w:p w14:paraId="03AE559C" w14:textId="77777777" w:rsidR="00FE6C6E" w:rsidRPr="000F7A60" w:rsidRDefault="00201EFA" w:rsidP="00FE6C6E">
      <w:pPr>
        <w:spacing w:before="100" w:beforeAutospacing="1" w:after="100" w:afterAutospacing="1"/>
        <w:ind w:left="720"/>
        <w:rPr>
          <w:sz w:val="22"/>
          <w:szCs w:val="20"/>
        </w:rPr>
      </w:pPr>
      <w:r w:rsidRPr="000F7A60">
        <w:rPr>
          <w:sz w:val="22"/>
          <w:szCs w:val="20"/>
        </w:rPr>
        <w:t>(q) a qualifying clearing agency.</w:t>
      </w:r>
    </w:p>
    <w:p w14:paraId="5216F9A4" w14:textId="77777777" w:rsidR="00FE6C6E" w:rsidRPr="007D4E7F" w:rsidRDefault="00201EFA" w:rsidP="00FE6C6E">
      <w:pPr>
        <w:pStyle w:val="BodyText"/>
        <w:spacing w:before="100" w:beforeAutospacing="1" w:after="100" w:afterAutospacing="1" w:line="240" w:lineRule="auto"/>
        <w:ind w:right="187" w:firstLine="0"/>
        <w:jc w:val="both"/>
        <w:rPr>
          <w:sz w:val="22"/>
          <w:szCs w:val="20"/>
        </w:rPr>
      </w:pPr>
      <w:r w:rsidRPr="007D4E7F">
        <w:rPr>
          <w:sz w:val="22"/>
          <w:szCs w:val="20"/>
        </w:rPr>
        <w:t>“</w:t>
      </w:r>
      <w:proofErr w:type="gramStart"/>
      <w:r w:rsidRPr="007D4E7F">
        <w:rPr>
          <w:b/>
          <w:bCs/>
          <w:sz w:val="22"/>
          <w:szCs w:val="20"/>
        </w:rPr>
        <w:t>investment</w:t>
      </w:r>
      <w:proofErr w:type="gramEnd"/>
      <w:r w:rsidRPr="007D4E7F">
        <w:rPr>
          <w:b/>
          <w:bCs/>
          <w:sz w:val="22"/>
          <w:szCs w:val="20"/>
        </w:rPr>
        <w:t xml:space="preserve"> dealer</w:t>
      </w:r>
      <w:r w:rsidRPr="007D4E7F">
        <w:rPr>
          <w:sz w:val="22"/>
          <w:szCs w:val="20"/>
        </w:rPr>
        <w:t>”</w:t>
      </w:r>
      <w:r w:rsidRPr="007D4E7F">
        <w:rPr>
          <w:b/>
          <w:bCs/>
          <w:sz w:val="22"/>
          <w:szCs w:val="20"/>
        </w:rPr>
        <w:t xml:space="preserve"> </w:t>
      </w:r>
      <w:r w:rsidRPr="007D4E7F">
        <w:rPr>
          <w:sz w:val="22"/>
          <w:szCs w:val="20"/>
        </w:rPr>
        <w:t>means a person or company registered as an investment dealer under the securities legislation of a jurisdiction of Canada.</w:t>
      </w:r>
    </w:p>
    <w:p w14:paraId="5673FCB7" w14:textId="77777777" w:rsidR="00FE6C6E" w:rsidRPr="007D4E7F" w:rsidRDefault="00201EFA" w:rsidP="00FE6C6E">
      <w:pPr>
        <w:pStyle w:val="BodyText"/>
        <w:spacing w:before="100" w:beforeAutospacing="1" w:after="120" w:line="240" w:lineRule="exact"/>
        <w:ind w:right="187" w:firstLine="0"/>
        <w:jc w:val="both"/>
        <w:rPr>
          <w:bCs/>
          <w:sz w:val="22"/>
          <w:szCs w:val="20"/>
          <w:lang w:val="en-CA"/>
        </w:rPr>
      </w:pPr>
      <w:r w:rsidRPr="007D4E7F">
        <w:rPr>
          <w:sz w:val="22"/>
          <w:szCs w:val="20"/>
        </w:rPr>
        <w:t>“</w:t>
      </w:r>
      <w:proofErr w:type="gramStart"/>
      <w:r w:rsidRPr="007D4E7F">
        <w:rPr>
          <w:b/>
          <w:bCs/>
          <w:sz w:val="22"/>
          <w:szCs w:val="20"/>
        </w:rPr>
        <w:t>investment</w:t>
      </w:r>
      <w:proofErr w:type="gramEnd"/>
      <w:r w:rsidRPr="007D4E7F">
        <w:rPr>
          <w:b/>
          <w:bCs/>
          <w:sz w:val="22"/>
          <w:szCs w:val="20"/>
        </w:rPr>
        <w:t xml:space="preserve"> fund</w:t>
      </w:r>
      <w:r w:rsidRPr="007D4E7F">
        <w:rPr>
          <w:sz w:val="22"/>
          <w:szCs w:val="20"/>
        </w:rPr>
        <w:t xml:space="preserve">” means </w:t>
      </w:r>
      <w:r w:rsidRPr="007D4E7F">
        <w:rPr>
          <w:bCs/>
          <w:sz w:val="22"/>
          <w:szCs w:val="20"/>
          <w:lang w:val="en-CA"/>
        </w:rPr>
        <w:t>an investment fund as defined in the securities or derivatives legislation, rules or regulations of a relevant Canadian jurisdiction.</w:t>
      </w:r>
      <w:r>
        <w:rPr>
          <w:rStyle w:val="FootnoteReference"/>
          <w:bCs/>
          <w:sz w:val="22"/>
          <w:szCs w:val="20"/>
          <w:lang w:val="en-CA"/>
        </w:rPr>
        <w:footnoteReference w:id="17"/>
      </w:r>
    </w:p>
    <w:p w14:paraId="3AB2E726" w14:textId="77777777" w:rsidR="00FE6C6E" w:rsidRDefault="00201EFA" w:rsidP="00FE6C6E">
      <w:pPr>
        <w:pStyle w:val="BodyText"/>
        <w:spacing w:before="100" w:beforeAutospacing="1" w:after="120" w:line="240" w:lineRule="exact"/>
        <w:ind w:right="187" w:firstLine="0"/>
        <w:jc w:val="both"/>
        <w:rPr>
          <w:sz w:val="22"/>
          <w:szCs w:val="20"/>
        </w:rPr>
      </w:pPr>
      <w:r w:rsidRPr="00CE6403">
        <w:rPr>
          <w:sz w:val="22"/>
          <w:szCs w:val="20"/>
        </w:rPr>
        <w:t>“</w:t>
      </w:r>
      <w:r w:rsidRPr="00AF55CF">
        <w:rPr>
          <w:b/>
          <w:bCs/>
          <w:sz w:val="22"/>
          <w:szCs w:val="20"/>
        </w:rPr>
        <w:t>Foreign Liquidity Provider</w:t>
      </w:r>
      <w:r w:rsidRPr="00CE6403">
        <w:rPr>
          <w:sz w:val="22"/>
          <w:szCs w:val="20"/>
        </w:rPr>
        <w:t>” means a person or company that (a) is registered, licensed or authorized, or otherwise</w:t>
      </w:r>
      <w:r>
        <w:rPr>
          <w:sz w:val="22"/>
          <w:szCs w:val="20"/>
        </w:rPr>
        <w:t xml:space="preserve"> </w:t>
      </w:r>
      <w:r w:rsidRPr="00CE6403">
        <w:rPr>
          <w:sz w:val="22"/>
          <w:szCs w:val="20"/>
        </w:rPr>
        <w:t>operates under an exemption or exclusion from a requirement to be registered, licensed or authorized under the</w:t>
      </w:r>
      <w:r>
        <w:rPr>
          <w:sz w:val="22"/>
          <w:szCs w:val="20"/>
        </w:rPr>
        <w:t xml:space="preserve"> </w:t>
      </w:r>
      <w:r w:rsidRPr="00CE6403">
        <w:rPr>
          <w:sz w:val="22"/>
          <w:szCs w:val="20"/>
        </w:rPr>
        <w:t>securities, commodity futures or derivatives legislation of a foreign jurisdiction in which its head office or principal</w:t>
      </w:r>
      <w:r>
        <w:rPr>
          <w:sz w:val="22"/>
          <w:szCs w:val="20"/>
        </w:rPr>
        <w:t xml:space="preserve"> </w:t>
      </w:r>
      <w:r w:rsidRPr="00CE6403">
        <w:rPr>
          <w:sz w:val="22"/>
          <w:szCs w:val="20"/>
        </w:rPr>
        <w:t>place of business is located to carry on the activities in that jurisdiction that registration as a derivatives dealer would</w:t>
      </w:r>
      <w:r>
        <w:rPr>
          <w:sz w:val="22"/>
          <w:szCs w:val="20"/>
        </w:rPr>
        <w:t xml:space="preserve"> </w:t>
      </w:r>
      <w:r w:rsidRPr="00CE6403">
        <w:rPr>
          <w:sz w:val="22"/>
          <w:szCs w:val="20"/>
        </w:rPr>
        <w:t>permit it to carry on in a local jurisdiction in Canada and (b) is not a derivatives dealer (i) whose head office or</w:t>
      </w:r>
      <w:r>
        <w:rPr>
          <w:sz w:val="22"/>
          <w:szCs w:val="20"/>
        </w:rPr>
        <w:t xml:space="preserve"> </w:t>
      </w:r>
      <w:r w:rsidRPr="00CE6403">
        <w:rPr>
          <w:sz w:val="22"/>
          <w:szCs w:val="20"/>
        </w:rPr>
        <w:t xml:space="preserve">principal place of business is in Canada or (ii) that is a Canadian financial institution. </w:t>
      </w:r>
      <w:r>
        <w:rPr>
          <w:sz w:val="22"/>
          <w:szCs w:val="20"/>
        </w:rPr>
        <w:t xml:space="preserve"> </w:t>
      </w:r>
    </w:p>
    <w:p w14:paraId="7C5A8181" w14:textId="77777777" w:rsidR="00FE6C6E" w:rsidRPr="007D4E7F" w:rsidRDefault="00201EFA" w:rsidP="00FE6C6E">
      <w:pPr>
        <w:pStyle w:val="BodyText"/>
        <w:spacing w:before="100" w:beforeAutospacing="1" w:after="120" w:line="240" w:lineRule="exact"/>
        <w:ind w:right="187" w:firstLine="0"/>
        <w:jc w:val="both"/>
        <w:rPr>
          <w:sz w:val="22"/>
          <w:szCs w:val="20"/>
        </w:rPr>
      </w:pPr>
      <w:r w:rsidRPr="007D4E7F">
        <w:rPr>
          <w:sz w:val="22"/>
          <w:szCs w:val="20"/>
        </w:rPr>
        <w:t>“</w:t>
      </w:r>
      <w:r w:rsidRPr="007D4E7F">
        <w:rPr>
          <w:b/>
          <w:bCs/>
          <w:sz w:val="22"/>
          <w:szCs w:val="20"/>
        </w:rPr>
        <w:t>NI 31-103</w:t>
      </w:r>
      <w:r w:rsidRPr="007D4E7F">
        <w:rPr>
          <w:sz w:val="22"/>
          <w:szCs w:val="20"/>
        </w:rPr>
        <w:t>” means National Instrument 31-103 Registration Requirements, Exemptions and Ongoing Registrant Obligations.</w:t>
      </w:r>
    </w:p>
    <w:p w14:paraId="372736DD" w14:textId="77777777" w:rsidR="00FE6C6E" w:rsidRPr="007D4E7F" w:rsidRDefault="00201EFA" w:rsidP="00FE6C6E">
      <w:pPr>
        <w:pStyle w:val="BodyText"/>
        <w:spacing w:before="100" w:beforeAutospacing="1" w:after="120" w:line="240" w:lineRule="exact"/>
        <w:ind w:right="187" w:firstLine="0"/>
        <w:jc w:val="both"/>
        <w:rPr>
          <w:sz w:val="22"/>
          <w:szCs w:val="20"/>
          <w:lang w:val="en-CA"/>
        </w:rPr>
      </w:pPr>
      <w:r w:rsidRPr="007D4E7F">
        <w:rPr>
          <w:sz w:val="22"/>
          <w:szCs w:val="20"/>
        </w:rPr>
        <w:t>“</w:t>
      </w:r>
      <w:r w:rsidRPr="007D4E7F">
        <w:rPr>
          <w:b/>
          <w:sz w:val="22"/>
          <w:szCs w:val="20"/>
          <w:lang w:val="en-CA"/>
        </w:rPr>
        <w:t>qualifying clearing agency</w:t>
      </w:r>
      <w:r w:rsidRPr="007D4E7F">
        <w:rPr>
          <w:bCs/>
          <w:sz w:val="22"/>
          <w:szCs w:val="20"/>
          <w:lang w:val="en-CA"/>
        </w:rPr>
        <w:t>”</w:t>
      </w:r>
      <w:r w:rsidRPr="007D4E7F">
        <w:rPr>
          <w:sz w:val="22"/>
          <w:szCs w:val="20"/>
          <w:lang w:val="en-CA"/>
        </w:rPr>
        <w:t xml:space="preserve"> means a person or company if any of the following apply: (a) </w:t>
      </w:r>
      <w:r w:rsidRPr="007D4E7F">
        <w:rPr>
          <w:sz w:val="22"/>
          <w:szCs w:val="20"/>
        </w:rPr>
        <w:t xml:space="preserve">it is recognized or exempted from recognition as a clearing agency or a clearing house, as applicable, in a jurisdiction of Canada </w:t>
      </w:r>
      <w:r w:rsidRPr="007D4E7F">
        <w:rPr>
          <w:sz w:val="22"/>
          <w:szCs w:val="20"/>
          <w:lang w:val="en-CA"/>
        </w:rPr>
        <w:t xml:space="preserve">or (b) </w:t>
      </w:r>
      <w:r w:rsidRPr="007D4E7F">
        <w:rPr>
          <w:sz w:val="22"/>
          <w:szCs w:val="20"/>
        </w:rPr>
        <w:t xml:space="preserve">it is subject to regulation in a foreign jurisdiction that is consistent with the </w:t>
      </w:r>
      <w:r w:rsidRPr="007D4E7F">
        <w:rPr>
          <w:i/>
          <w:iCs/>
          <w:sz w:val="22"/>
          <w:szCs w:val="20"/>
        </w:rPr>
        <w:t xml:space="preserve">Principles for financial market infrastructures </w:t>
      </w:r>
      <w:r w:rsidRPr="007D4E7F">
        <w:rPr>
          <w:sz w:val="22"/>
          <w:szCs w:val="20"/>
        </w:rPr>
        <w:t>applicable to central counterparties, as amended from time to time, and published by the Bank for International Settlements’ Committee on Payments and Market Infrastructures and the International Organization of Securities Commissions</w:t>
      </w:r>
      <w:r w:rsidRPr="007D4E7F">
        <w:rPr>
          <w:sz w:val="22"/>
          <w:szCs w:val="20"/>
          <w:lang w:val="en-CA"/>
        </w:rPr>
        <w:t xml:space="preserve">. </w:t>
      </w:r>
    </w:p>
    <w:p w14:paraId="76707FA5" w14:textId="77777777" w:rsidR="00FE6C6E" w:rsidRPr="003672CE" w:rsidRDefault="00201EFA" w:rsidP="00FE6C6E">
      <w:pPr>
        <w:pStyle w:val="BodyText"/>
        <w:spacing w:before="100" w:beforeAutospacing="1" w:after="120" w:line="240" w:lineRule="exact"/>
        <w:ind w:right="187" w:firstLine="0"/>
        <w:jc w:val="both"/>
        <w:rPr>
          <w:rFonts w:eastAsia="SimSun"/>
          <w:b/>
          <w:sz w:val="22"/>
          <w:u w:val="single"/>
        </w:rPr>
      </w:pPr>
      <w:r w:rsidRPr="007D4E7F">
        <w:rPr>
          <w:bCs/>
          <w:sz w:val="22"/>
          <w:szCs w:val="20"/>
          <w:lang w:val="en-CA"/>
        </w:rPr>
        <w:t>“</w:t>
      </w:r>
      <w:r w:rsidRPr="007D4E7F">
        <w:rPr>
          <w:b/>
          <w:sz w:val="22"/>
          <w:szCs w:val="20"/>
          <w:lang w:val="en-CA"/>
        </w:rPr>
        <w:t>Transaction</w:t>
      </w:r>
      <w:r w:rsidRPr="007D4E7F">
        <w:rPr>
          <w:bCs/>
          <w:sz w:val="22"/>
          <w:szCs w:val="20"/>
          <w:lang w:val="en-CA"/>
        </w:rPr>
        <w:t>”</w:t>
      </w:r>
      <w:r w:rsidRPr="007D4E7F">
        <w:rPr>
          <w:sz w:val="22"/>
          <w:szCs w:val="20"/>
          <w:lang w:val="en-CA"/>
        </w:rPr>
        <w:t xml:space="preserve"> means the entering into, making a material amendment to, terminating, assigning, selling or otherwise acquiring or disposing of a derivative or the novation of a derivative other than a novation with a Qualifying Clearing Agency.</w:t>
      </w:r>
    </w:p>
    <w:p w14:paraId="1A4DC5AF" w14:textId="5DB6A187" w:rsidR="001924CE" w:rsidRPr="00FE6C6E" w:rsidRDefault="001924CE" w:rsidP="00FE6C6E"/>
    <w:sectPr w:rsidR="001924CE" w:rsidRPr="00FE6C6E" w:rsidSect="00545511">
      <w:footerReference w:type="default" r:id="rId17"/>
      <w:headerReference w:type="first" r:id="rId18"/>
      <w:footerReference w:type="first" r:id="rId19"/>
      <w:pgSz w:w="12240" w:h="15840" w:code="1"/>
      <w:pgMar w:top="720" w:right="720" w:bottom="720" w:left="72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D314C" w14:textId="77777777" w:rsidR="007C1C75" w:rsidRDefault="007C1C75">
      <w:pPr>
        <w:spacing w:after="0" w:line="240" w:lineRule="auto"/>
      </w:pPr>
      <w:r>
        <w:separator/>
      </w:r>
    </w:p>
  </w:endnote>
  <w:endnote w:type="continuationSeparator" w:id="0">
    <w:p w14:paraId="4B9A564E" w14:textId="77777777" w:rsidR="007C1C75" w:rsidRDefault="007C1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B36AB" w14:textId="77777777" w:rsidR="00FE6C6E" w:rsidRDefault="00000000" w:rsidP="001114A8">
    <w:pPr>
      <w:pStyle w:val="Footer"/>
      <w:jc w:val="center"/>
    </w:pPr>
    <w:sdt>
      <w:sdtPr>
        <w:id w:val="-480692997"/>
        <w:docPartObj>
          <w:docPartGallery w:val="Page Numbers (Bottom of Page)"/>
          <w:docPartUnique/>
        </w:docPartObj>
      </w:sdtPr>
      <w:sdtEndPr>
        <w:rPr>
          <w:noProof/>
        </w:rPr>
      </w:sdtEndPr>
      <w:sdtContent>
        <w:r w:rsidR="00201EFA">
          <w:fldChar w:fldCharType="begin"/>
        </w:r>
        <w:r w:rsidR="00201EFA">
          <w:instrText xml:space="preserve"> PAGE   \* MERGEFORMAT </w:instrText>
        </w:r>
        <w:r w:rsidR="00201EFA">
          <w:fldChar w:fldCharType="separate"/>
        </w:r>
        <w:r w:rsidR="00201EFA">
          <w:rPr>
            <w:noProof/>
          </w:rPr>
          <w:t>2</w:t>
        </w:r>
        <w:r w:rsidR="00201EFA">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84654"/>
      <w:docPartObj>
        <w:docPartGallery w:val="Page Numbers (Bottom of Page)"/>
        <w:docPartUnique/>
      </w:docPartObj>
    </w:sdtPr>
    <w:sdtEndPr>
      <w:rPr>
        <w:noProof/>
      </w:rPr>
    </w:sdtEndPr>
    <w:sdtContent>
      <w:p w14:paraId="787FADFC" w14:textId="77777777" w:rsidR="00FE6C6E" w:rsidRDefault="00FE6C6E" w:rsidP="00032E8C">
        <w:pPr>
          <w:pStyle w:val="Footer"/>
          <w:spacing w:after="0"/>
          <w:jc w:val="center"/>
        </w:pPr>
      </w:p>
      <w:p w14:paraId="55428B4A" w14:textId="515A8C79" w:rsidR="00FE6C6E" w:rsidRPr="00032E8C" w:rsidRDefault="00201EFA" w:rsidP="001114A8">
        <w:pPr>
          <w:pStyle w:val="Footer"/>
          <w:jc w:val="center"/>
          <w:rPr>
            <w:sz w:val="20"/>
            <w:szCs w:val="20"/>
          </w:rPr>
        </w:pPr>
        <w:r w:rsidRPr="00030791">
          <w:rPr>
            <w:sz w:val="20"/>
            <w:szCs w:val="20"/>
          </w:rPr>
          <w:t>© 20</w:t>
        </w:r>
        <w:r>
          <w:rPr>
            <w:sz w:val="20"/>
            <w:szCs w:val="20"/>
          </w:rPr>
          <w:t>24</w:t>
        </w:r>
        <w:r w:rsidR="00631BA9">
          <w:rPr>
            <w:sz w:val="20"/>
            <w:szCs w:val="20"/>
          </w:rPr>
          <w:t>-2025</w:t>
        </w:r>
        <w:r w:rsidRPr="00030791">
          <w:rPr>
            <w:sz w:val="20"/>
            <w:szCs w:val="20"/>
          </w:rPr>
          <w:t xml:space="preserve"> by the International Swaps and Derivatives Association, Inc.</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76B51" w14:textId="77777777" w:rsidR="007C0C0C" w:rsidRDefault="00000000" w:rsidP="001114A8">
    <w:pPr>
      <w:pStyle w:val="Footer"/>
      <w:jc w:val="center"/>
    </w:pPr>
    <w:sdt>
      <w:sdtPr>
        <w:id w:val="1002009539"/>
        <w:docPartObj>
          <w:docPartGallery w:val="Page Numbers (Bottom of Page)"/>
          <w:docPartUnique/>
        </w:docPartObj>
      </w:sdtPr>
      <w:sdtEndPr>
        <w:rPr>
          <w:noProof/>
        </w:rPr>
      </w:sdtEndPr>
      <w:sdtContent>
        <w:r w:rsidR="00574E18">
          <w:fldChar w:fldCharType="begin"/>
        </w:r>
        <w:r w:rsidR="00574E18">
          <w:instrText xml:space="preserve"> PAGE   \* MERGEFORMAT </w:instrText>
        </w:r>
        <w:r w:rsidR="00574E18">
          <w:fldChar w:fldCharType="separate"/>
        </w:r>
        <w:r w:rsidR="00574E18">
          <w:rPr>
            <w:noProof/>
          </w:rPr>
          <w:t>2</w:t>
        </w:r>
        <w:r w:rsidR="00574E18">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7190312"/>
      <w:docPartObj>
        <w:docPartGallery w:val="Page Numbers (Bottom of Page)"/>
        <w:docPartUnique/>
      </w:docPartObj>
    </w:sdtPr>
    <w:sdtEndPr>
      <w:rPr>
        <w:noProof/>
      </w:rPr>
    </w:sdtEndPr>
    <w:sdtContent>
      <w:p w14:paraId="3E4834F7" w14:textId="77777777" w:rsidR="007C0C0C" w:rsidRPr="00574E18" w:rsidRDefault="00201EFA" w:rsidP="001114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4B9D0" w14:textId="77777777" w:rsidR="007C1C75" w:rsidRDefault="007C1C75" w:rsidP="001924CE">
      <w:pPr>
        <w:spacing w:after="0" w:line="240" w:lineRule="auto"/>
      </w:pPr>
      <w:r>
        <w:separator/>
      </w:r>
    </w:p>
  </w:footnote>
  <w:footnote w:type="continuationSeparator" w:id="0">
    <w:p w14:paraId="75ABA427" w14:textId="77777777" w:rsidR="007C1C75" w:rsidRDefault="007C1C75" w:rsidP="001924CE">
      <w:pPr>
        <w:spacing w:after="0" w:line="240" w:lineRule="auto"/>
      </w:pPr>
      <w:r>
        <w:continuationSeparator/>
      </w:r>
    </w:p>
  </w:footnote>
  <w:footnote w:id="1">
    <w:p w14:paraId="0A58A92E" w14:textId="32DAF3E0" w:rsidR="00FE6C6E" w:rsidRDefault="00201EFA" w:rsidP="00FE6C6E">
      <w:pPr>
        <w:pStyle w:val="FootnoteText"/>
        <w:ind w:left="450" w:hanging="450"/>
        <w:jc w:val="both"/>
      </w:pPr>
      <w:r>
        <w:rPr>
          <w:rStyle w:val="FootnoteReference"/>
        </w:rPr>
        <w:footnoteRef/>
      </w:r>
      <w:r>
        <w:t xml:space="preserve">  </w:t>
      </w:r>
      <w:r>
        <w:tab/>
      </w:r>
      <w:r w:rsidRPr="00E34155">
        <w:rPr>
          <w:szCs w:val="18"/>
        </w:rPr>
        <w:t>Annotations</w:t>
      </w:r>
      <w:r>
        <w:t xml:space="preserve"> are </w:t>
      </w:r>
      <w:r w:rsidRPr="00E34155">
        <w:rPr>
          <w:highlight w:val="lightGray"/>
        </w:rPr>
        <w:t>shaded</w:t>
      </w:r>
      <w:r>
        <w:t xml:space="preserve"> and are made to the “ISDA Canadian Representation Letter #2 Business Conduct Rule” published on</w:t>
      </w:r>
      <w:r w:rsidRPr="00F960BE">
        <w:rPr>
          <w:b/>
          <w:bCs/>
        </w:rPr>
        <w:t xml:space="preserve"> [●] </w:t>
      </w:r>
    </w:p>
  </w:footnote>
  <w:footnote w:id="2">
    <w:p w14:paraId="065F11A5" w14:textId="77777777" w:rsidR="00FE6C6E" w:rsidRPr="009A21D1" w:rsidRDefault="00201EFA" w:rsidP="00FE6C6E">
      <w:pPr>
        <w:pStyle w:val="FootnoteText"/>
        <w:ind w:left="450" w:hanging="450"/>
        <w:jc w:val="both"/>
        <w:rPr>
          <w:szCs w:val="18"/>
          <w:lang w:eastAsia="zh-CN"/>
        </w:rPr>
      </w:pPr>
      <w:r w:rsidRPr="009A21D1">
        <w:rPr>
          <w:rStyle w:val="FootnoteReference"/>
          <w:szCs w:val="18"/>
        </w:rPr>
        <w:footnoteRef/>
      </w:r>
      <w:r w:rsidRPr="009A21D1">
        <w:rPr>
          <w:szCs w:val="18"/>
        </w:rPr>
        <w:t xml:space="preserve"> </w:t>
      </w:r>
      <w:r>
        <w:rPr>
          <w:szCs w:val="18"/>
        </w:rPr>
        <w:tab/>
      </w:r>
      <w:r w:rsidRPr="009A21D1">
        <w:rPr>
          <w:szCs w:val="18"/>
        </w:rPr>
        <w:t>Insert the name(s) of the entity or entities designated as Recipient(s) in the request letter or otherwise intended as Recipient(s) for purposes of the information below.  If addressed to multiple Recipients, each statement in the Letter will apply separately as to each such named Recipient.</w:t>
      </w:r>
    </w:p>
  </w:footnote>
  <w:footnote w:id="3">
    <w:p w14:paraId="0834A8CF" w14:textId="77777777" w:rsidR="00FE6C6E" w:rsidRPr="009A21D1" w:rsidRDefault="00201EFA" w:rsidP="00FE6C6E">
      <w:pPr>
        <w:pStyle w:val="FootnoteText"/>
        <w:ind w:left="450" w:hanging="450"/>
        <w:jc w:val="both"/>
        <w:rPr>
          <w:szCs w:val="18"/>
        </w:rPr>
      </w:pPr>
      <w:r w:rsidRPr="009A21D1">
        <w:rPr>
          <w:rStyle w:val="FootnoteReference"/>
          <w:szCs w:val="18"/>
        </w:rPr>
        <w:footnoteRef/>
      </w:r>
      <w:r w:rsidRPr="009A21D1">
        <w:rPr>
          <w:szCs w:val="18"/>
        </w:rPr>
        <w:t xml:space="preserve"> </w:t>
      </w:r>
      <w:r w:rsidRPr="009A21D1">
        <w:rPr>
          <w:szCs w:val="18"/>
        </w:rPr>
        <w:tab/>
      </w:r>
      <w:r w:rsidRPr="009A21D1">
        <w:rPr>
          <w:szCs w:val="18"/>
          <w:lang w:val="en-GB"/>
        </w:rPr>
        <w:t xml:space="preserve">If this Letter is being completed by the Named Person, the Named Person should insert its full legal name here.  </w:t>
      </w:r>
      <w:r w:rsidRPr="009A21D1">
        <w:rPr>
          <w:szCs w:val="18"/>
        </w:rPr>
        <w:t xml:space="preserve">If this </w:t>
      </w:r>
      <w:r>
        <w:rPr>
          <w:szCs w:val="18"/>
        </w:rPr>
        <w:t>L</w:t>
      </w:r>
      <w:r w:rsidRPr="009A21D1">
        <w:rPr>
          <w:szCs w:val="18"/>
        </w:rPr>
        <w:t xml:space="preserve">etter is being delivered by an agent or mandatary on behalf of one or more principals, the agent should insert “as agent for [name of </w:t>
      </w:r>
      <w:proofErr w:type="gramStart"/>
      <w:r w:rsidRPr="009A21D1">
        <w:rPr>
          <w:szCs w:val="18"/>
        </w:rPr>
        <w:t>principal][</w:t>
      </w:r>
      <w:proofErr w:type="gramEnd"/>
      <w:r w:rsidRPr="009A21D1">
        <w:rPr>
          <w:szCs w:val="18"/>
        </w:rPr>
        <w:t xml:space="preserve">the principals named on the attached sheet].”  If the agent is acting on behalf of more than one principal, (i) it may list the names of such principals on a separate sheet and (ii) this Letter should be treated as if it were a separate Letter with respect to each principal listed on such sheet. Similarly, if this Letter is being delivered by a trustee on behalf of one or more trusts or trust funds, the trustee should insert “as trustee for [name of trust or trust </w:t>
      </w:r>
      <w:proofErr w:type="gramStart"/>
      <w:r w:rsidRPr="009A21D1">
        <w:rPr>
          <w:szCs w:val="18"/>
        </w:rPr>
        <w:t>fund][</w:t>
      </w:r>
      <w:proofErr w:type="gramEnd"/>
      <w:r w:rsidRPr="009A21D1">
        <w:rPr>
          <w:szCs w:val="18"/>
        </w:rPr>
        <w:t>the [trusts][trust funds] named on the attached sheet].” The LEI</w:t>
      </w:r>
      <w:r>
        <w:rPr>
          <w:szCs w:val="18"/>
        </w:rPr>
        <w:t xml:space="preserve"> </w:t>
      </w:r>
      <w:r w:rsidRPr="009A21D1">
        <w:rPr>
          <w:szCs w:val="18"/>
        </w:rPr>
        <w:t xml:space="preserve">or Alternative Identifier should be provided for each principal. </w:t>
      </w:r>
    </w:p>
  </w:footnote>
  <w:footnote w:id="4">
    <w:p w14:paraId="673CB3B6" w14:textId="77777777" w:rsidR="00FE6C6E" w:rsidRPr="009A21D1" w:rsidRDefault="00201EFA" w:rsidP="00FE6C6E">
      <w:pPr>
        <w:pStyle w:val="FootnoteText"/>
        <w:tabs>
          <w:tab w:val="left" w:pos="450"/>
        </w:tabs>
        <w:ind w:left="450" w:hanging="450"/>
        <w:jc w:val="both"/>
        <w:rPr>
          <w:szCs w:val="18"/>
        </w:rPr>
      </w:pPr>
      <w:r w:rsidRPr="009A21D1">
        <w:rPr>
          <w:rStyle w:val="FootnoteReference"/>
          <w:szCs w:val="18"/>
        </w:rPr>
        <w:footnoteRef/>
      </w:r>
      <w:r w:rsidRPr="009A21D1">
        <w:rPr>
          <w:szCs w:val="18"/>
        </w:rPr>
        <w:t xml:space="preserve"> </w:t>
      </w:r>
      <w:r w:rsidRPr="009A21D1">
        <w:rPr>
          <w:szCs w:val="18"/>
        </w:rPr>
        <w:tab/>
        <w:t>If you would like to include an alternative identifier, please describe the type of identifier provided.</w:t>
      </w:r>
    </w:p>
  </w:footnote>
  <w:footnote w:id="5">
    <w:p w14:paraId="1EC734E5" w14:textId="77777777" w:rsidR="00FE6C6E" w:rsidRPr="009A21D1" w:rsidRDefault="00201EFA" w:rsidP="00FE6C6E">
      <w:pPr>
        <w:pStyle w:val="FootnoteText"/>
        <w:ind w:left="450" w:hanging="450"/>
        <w:jc w:val="both"/>
        <w:rPr>
          <w:szCs w:val="18"/>
        </w:rPr>
      </w:pPr>
      <w:r w:rsidRPr="009A21D1">
        <w:rPr>
          <w:rStyle w:val="FootnoteReference"/>
          <w:szCs w:val="18"/>
        </w:rPr>
        <w:footnoteRef/>
      </w:r>
      <w:r w:rsidRPr="009A21D1">
        <w:rPr>
          <w:szCs w:val="18"/>
        </w:rPr>
        <w:t xml:space="preserve"> </w:t>
      </w:r>
      <w:r w:rsidRPr="009A21D1">
        <w:rPr>
          <w:szCs w:val="18"/>
        </w:rPr>
        <w:tab/>
        <w:t>Only insert the name of the agent if this Letter is being completed by an agent or mandatary on behalf of one or more Named Persons. If this Letter is being completed by the Named Person, this line can be left blank, struck through, marked as not applicable or similar.</w:t>
      </w:r>
    </w:p>
  </w:footnote>
  <w:footnote w:id="6">
    <w:p w14:paraId="5B44FE9F" w14:textId="77777777" w:rsidR="00FE6C6E" w:rsidRPr="009A21D1" w:rsidRDefault="00201EFA" w:rsidP="00FE6C6E">
      <w:pPr>
        <w:pStyle w:val="FootnoteText"/>
        <w:ind w:left="450" w:hanging="450"/>
        <w:jc w:val="both"/>
        <w:rPr>
          <w:szCs w:val="18"/>
        </w:rPr>
      </w:pPr>
      <w:r w:rsidRPr="009A21D1">
        <w:rPr>
          <w:rStyle w:val="FootnoteReference"/>
          <w:szCs w:val="18"/>
        </w:rPr>
        <w:footnoteRef/>
      </w:r>
      <w:r w:rsidRPr="009A21D1">
        <w:rPr>
          <w:szCs w:val="18"/>
        </w:rPr>
        <w:t xml:space="preserve"> </w:t>
      </w:r>
      <w:r>
        <w:rPr>
          <w:szCs w:val="18"/>
        </w:rPr>
        <w:tab/>
      </w:r>
      <w:r w:rsidRPr="009A21D1">
        <w:rPr>
          <w:szCs w:val="18"/>
        </w:rPr>
        <w:t>In Saskatchewan, if the Business Conduct Rule is filed with the Registrar of Regulations after September 28, 2024, the Business Conduct Rule comes into force on the day on which it is filed with the Registrar of Regulations.</w:t>
      </w:r>
    </w:p>
  </w:footnote>
  <w:footnote w:id="7">
    <w:p w14:paraId="00E8F3E8" w14:textId="77777777" w:rsidR="00FE6C6E" w:rsidRDefault="00FE6C6E" w:rsidP="00FE6C6E">
      <w:pPr>
        <w:pStyle w:val="FootnoteText"/>
        <w:ind w:left="450" w:hanging="450"/>
        <w:jc w:val="both"/>
      </w:pPr>
    </w:p>
    <w:p w14:paraId="03E1AC1B" w14:textId="77777777" w:rsidR="00FE6C6E" w:rsidRPr="00C93343" w:rsidRDefault="00201EFA" w:rsidP="00CD42FF">
      <w:pPr>
        <w:pStyle w:val="FootnoteText"/>
        <w:spacing w:line="240" w:lineRule="auto"/>
        <w:ind w:left="446" w:right="180" w:hanging="446"/>
        <w:jc w:val="both"/>
        <w:rPr>
          <w:szCs w:val="18"/>
        </w:rPr>
      </w:pPr>
      <w:r>
        <w:rPr>
          <w:rStyle w:val="FootnoteReference"/>
        </w:rPr>
        <w:footnoteRef/>
      </w:r>
      <w:r>
        <w:rPr>
          <w:szCs w:val="18"/>
        </w:rPr>
        <w:tab/>
      </w:r>
      <w:r w:rsidRPr="00CD42FF">
        <w:rPr>
          <w:szCs w:val="18"/>
          <w:highlight w:val="lightGray"/>
        </w:rPr>
        <w:t xml:space="preserve">If the Named Person is a hospital or university (or a related fund managed on its behalf), </w:t>
      </w:r>
      <w:hyperlink r:id="rId1" w:history="1">
        <w:r w:rsidR="00FE6C6E" w:rsidRPr="00CD42FF">
          <w:rPr>
            <w:rStyle w:val="Hyperlink"/>
            <w:szCs w:val="18"/>
            <w:highlight w:val="lightGray"/>
          </w:rPr>
          <w:t>CSA Staff Notice 93-302</w:t>
        </w:r>
      </w:hyperlink>
      <w:r w:rsidRPr="00CD42FF">
        <w:rPr>
          <w:szCs w:val="18"/>
          <w:highlight w:val="lightGray"/>
        </w:rPr>
        <w:t xml:space="preserve"> provides that it may qualify, subject to the specific facts in each case, as an EDP under different categories, such as:</w:t>
      </w:r>
    </w:p>
    <w:p w14:paraId="03942A5B" w14:textId="77777777" w:rsidR="00FE6C6E" w:rsidRPr="00C93343" w:rsidRDefault="00201EFA" w:rsidP="00CD42FF">
      <w:pPr>
        <w:pStyle w:val="BodyText"/>
        <w:numPr>
          <w:ilvl w:val="0"/>
          <w:numId w:val="28"/>
        </w:numPr>
        <w:spacing w:after="0" w:line="240" w:lineRule="exact"/>
        <w:ind w:left="1080" w:right="187"/>
        <w:jc w:val="both"/>
        <w:rPr>
          <w:sz w:val="18"/>
          <w:szCs w:val="18"/>
        </w:rPr>
      </w:pPr>
      <w:r w:rsidRPr="00CD42FF">
        <w:rPr>
          <w:sz w:val="18"/>
          <w:szCs w:val="18"/>
          <w:highlight w:val="lightGray"/>
        </w:rPr>
        <w:t>paragraph (g) referring to various government agencies (or, if foreign, paragraph (h)</w:t>
      </w:r>
      <w:proofErr w:type="gramStart"/>
      <w:r w:rsidRPr="00CD42FF">
        <w:rPr>
          <w:sz w:val="18"/>
          <w:szCs w:val="18"/>
          <w:highlight w:val="lightGray"/>
        </w:rPr>
        <w:t>);</w:t>
      </w:r>
      <w:proofErr w:type="gramEnd"/>
    </w:p>
    <w:p w14:paraId="662999EA" w14:textId="77777777" w:rsidR="00FE6C6E" w:rsidRPr="00C93343" w:rsidRDefault="00201EFA" w:rsidP="00CD42FF">
      <w:pPr>
        <w:pStyle w:val="BodyText"/>
        <w:numPr>
          <w:ilvl w:val="0"/>
          <w:numId w:val="28"/>
        </w:numPr>
        <w:spacing w:after="0" w:line="240" w:lineRule="exact"/>
        <w:ind w:left="1080" w:right="187"/>
        <w:jc w:val="both"/>
        <w:rPr>
          <w:sz w:val="18"/>
          <w:szCs w:val="18"/>
        </w:rPr>
      </w:pPr>
      <w:r w:rsidRPr="00CD42FF">
        <w:rPr>
          <w:sz w:val="18"/>
          <w:szCs w:val="18"/>
          <w:highlight w:val="lightGray"/>
        </w:rPr>
        <w:t xml:space="preserve">paragraphs (j), (k) or (l) referring to managed accounts and investment </w:t>
      </w:r>
      <w:proofErr w:type="gramStart"/>
      <w:r w:rsidRPr="00CD42FF">
        <w:rPr>
          <w:sz w:val="18"/>
          <w:szCs w:val="18"/>
          <w:highlight w:val="lightGray"/>
        </w:rPr>
        <w:t>funds;</w:t>
      </w:r>
      <w:proofErr w:type="gramEnd"/>
    </w:p>
    <w:p w14:paraId="6502910E" w14:textId="77777777" w:rsidR="00FE6C6E" w:rsidRPr="00C93343" w:rsidRDefault="00201EFA" w:rsidP="00CD42FF">
      <w:pPr>
        <w:pStyle w:val="BodyText"/>
        <w:numPr>
          <w:ilvl w:val="0"/>
          <w:numId w:val="28"/>
        </w:numPr>
        <w:spacing w:after="0" w:line="240" w:lineRule="exact"/>
        <w:ind w:left="1080" w:right="187"/>
        <w:jc w:val="both"/>
        <w:rPr>
          <w:sz w:val="18"/>
          <w:szCs w:val="18"/>
        </w:rPr>
      </w:pPr>
      <w:r w:rsidRPr="00CD42FF">
        <w:rPr>
          <w:sz w:val="18"/>
          <w:szCs w:val="18"/>
          <w:highlight w:val="lightGray"/>
        </w:rPr>
        <w:t xml:space="preserve">paragraph (p) referring to an entity that is fully guaranteed by another </w:t>
      </w:r>
      <w:proofErr w:type="gramStart"/>
      <w:r w:rsidRPr="00CD42FF">
        <w:rPr>
          <w:sz w:val="18"/>
          <w:szCs w:val="18"/>
          <w:highlight w:val="lightGray"/>
        </w:rPr>
        <w:t>EDP;</w:t>
      </w:r>
      <w:proofErr w:type="gramEnd"/>
    </w:p>
    <w:p w14:paraId="2E83B5CE" w14:textId="77777777" w:rsidR="00FE6C6E" w:rsidRPr="00C93343" w:rsidRDefault="00201EFA" w:rsidP="00CD42FF">
      <w:pPr>
        <w:pStyle w:val="BodyText"/>
        <w:numPr>
          <w:ilvl w:val="0"/>
          <w:numId w:val="28"/>
        </w:numPr>
        <w:spacing w:after="0" w:line="240" w:lineRule="exact"/>
        <w:ind w:left="1080" w:right="187"/>
        <w:jc w:val="both"/>
        <w:rPr>
          <w:sz w:val="18"/>
          <w:szCs w:val="18"/>
        </w:rPr>
      </w:pPr>
      <w:r w:rsidRPr="00CD42FF">
        <w:rPr>
          <w:sz w:val="18"/>
          <w:szCs w:val="18"/>
          <w:highlight w:val="lightGray"/>
        </w:rPr>
        <w:t>paragraph (m) referring to the $25 million net asset test.</w:t>
      </w:r>
    </w:p>
    <w:p w14:paraId="0DE27302" w14:textId="77777777" w:rsidR="00FE6C6E" w:rsidRPr="00744B4E" w:rsidRDefault="00201EFA" w:rsidP="00CD42FF">
      <w:pPr>
        <w:pStyle w:val="BodyText"/>
        <w:spacing w:after="0" w:line="240" w:lineRule="exact"/>
        <w:ind w:left="450" w:right="187" w:firstLine="0"/>
        <w:jc w:val="both"/>
        <w:rPr>
          <w:sz w:val="18"/>
          <w:szCs w:val="18"/>
        </w:rPr>
      </w:pPr>
      <w:r w:rsidRPr="00CD42FF">
        <w:rPr>
          <w:sz w:val="18"/>
          <w:szCs w:val="18"/>
          <w:highlight w:val="lightGray"/>
        </w:rPr>
        <w:t>The above list is not exhaustive.  For example, it may qualify under paragraph (i).</w:t>
      </w:r>
    </w:p>
    <w:p w14:paraId="4362DF08" w14:textId="77777777" w:rsidR="00FE6C6E" w:rsidRPr="009661CA" w:rsidRDefault="00FE6C6E" w:rsidP="00C93343">
      <w:pPr>
        <w:pStyle w:val="FootnoteText"/>
        <w:rPr>
          <w:b/>
          <w:bCs/>
        </w:rPr>
      </w:pPr>
    </w:p>
  </w:footnote>
  <w:footnote w:id="8">
    <w:p w14:paraId="4312FE70" w14:textId="438CCB28" w:rsidR="00FE6C6E" w:rsidRDefault="00201EFA" w:rsidP="00FE6C6E">
      <w:pPr>
        <w:pStyle w:val="FootnoteText"/>
        <w:ind w:left="450" w:hanging="450"/>
        <w:jc w:val="both"/>
      </w:pPr>
      <w:r>
        <w:rPr>
          <w:rStyle w:val="FootnoteReference"/>
        </w:rPr>
        <w:footnoteRef/>
      </w:r>
      <w:r>
        <w:t xml:space="preserve"> </w:t>
      </w:r>
      <w:r>
        <w:tab/>
      </w:r>
      <w:bookmarkStart w:id="5" w:name="_Hlk182832817"/>
      <w:r>
        <w:rPr>
          <w:szCs w:val="18"/>
          <w:highlight w:val="lightGray"/>
        </w:rPr>
        <w:t xml:space="preserve">(B)(i) and (ii) are provided for in the </w:t>
      </w:r>
      <w:hyperlink r:id="rId2" w:history="1">
        <w:r w:rsidR="00FE6C6E" w:rsidRPr="00CD42FF">
          <w:rPr>
            <w:rStyle w:val="Hyperlink"/>
            <w:szCs w:val="18"/>
            <w:highlight w:val="lightGray"/>
          </w:rPr>
          <w:t>CSA Notice of Coordinated Blanket Order 93-930</w:t>
        </w:r>
      </w:hyperlink>
      <w:bookmarkEnd w:id="5"/>
      <w:r w:rsidR="00CD42FF" w:rsidRPr="00CD42FF">
        <w:rPr>
          <w:highlight w:val="lightGray"/>
        </w:rPr>
        <w:t xml:space="preserve"> </w:t>
      </w:r>
      <w:r w:rsidRPr="00CD42FF">
        <w:rPr>
          <w:highlight w:val="lightGray"/>
        </w:rPr>
        <w:t xml:space="preserve">but </w:t>
      </w:r>
      <w:r>
        <w:rPr>
          <w:highlight w:val="lightGray"/>
        </w:rPr>
        <w:t xml:space="preserve">may in </w:t>
      </w:r>
      <w:r w:rsidR="00CD42FF">
        <w:rPr>
          <w:highlight w:val="lightGray"/>
        </w:rPr>
        <w:t xml:space="preserve">the </w:t>
      </w:r>
      <w:r>
        <w:rPr>
          <w:highlight w:val="lightGray"/>
        </w:rPr>
        <w:t>future be provided for as</w:t>
      </w:r>
      <w:r w:rsidRPr="00B746F4">
        <w:rPr>
          <w:highlight w:val="lightGray"/>
        </w:rPr>
        <w:t xml:space="preserve"> amendments to the Business Conduct Rule</w:t>
      </w:r>
      <w:r>
        <w:t>.</w:t>
      </w:r>
    </w:p>
  </w:footnote>
  <w:footnote w:id="9">
    <w:p w14:paraId="4AB7E1EF" w14:textId="77777777" w:rsidR="00FE6C6E" w:rsidRPr="009A21D1" w:rsidRDefault="00201EFA" w:rsidP="00FE6C6E">
      <w:pPr>
        <w:pStyle w:val="FootnoteText"/>
        <w:ind w:left="450" w:hanging="450"/>
        <w:jc w:val="both"/>
        <w:rPr>
          <w:szCs w:val="18"/>
        </w:rPr>
      </w:pPr>
      <w:r w:rsidRPr="009A21D1">
        <w:rPr>
          <w:rStyle w:val="FootnoteReference"/>
          <w:szCs w:val="18"/>
        </w:rPr>
        <w:footnoteRef/>
      </w:r>
      <w:r w:rsidRPr="009A21D1">
        <w:rPr>
          <w:szCs w:val="18"/>
        </w:rPr>
        <w:t xml:space="preserve"> </w:t>
      </w:r>
      <w:r>
        <w:rPr>
          <w:szCs w:val="18"/>
        </w:rPr>
        <w:tab/>
      </w:r>
      <w:r w:rsidRPr="009A21D1">
        <w:rPr>
          <w:szCs w:val="18"/>
        </w:rPr>
        <w:t>For the purposes of paragraph (m), net assets must have an aggregate realizable value, before taxes, but after deduction of the corresponding liabilities, that are more than $25 000 000 in Canadian dollars or an equivalent amount in another currency as shown on its last financial statements. “Net assets” under this paragraph is calculated as total assets minus total liabilities. Unlike in paragraph (o), assets considered for the purposes of paragraphs (m) are not limited to “financial assets”.</w:t>
      </w:r>
    </w:p>
  </w:footnote>
  <w:footnote w:id="10">
    <w:p w14:paraId="0B636019" w14:textId="77777777" w:rsidR="00FE6C6E" w:rsidRPr="009A21D1" w:rsidRDefault="00201EFA" w:rsidP="00FE6C6E">
      <w:pPr>
        <w:pStyle w:val="FootnoteText"/>
        <w:ind w:left="450" w:hanging="450"/>
        <w:jc w:val="both"/>
        <w:rPr>
          <w:szCs w:val="18"/>
        </w:rPr>
      </w:pPr>
      <w:r w:rsidRPr="009A21D1">
        <w:rPr>
          <w:rStyle w:val="FootnoteReference"/>
          <w:szCs w:val="18"/>
        </w:rPr>
        <w:footnoteRef/>
      </w:r>
      <w:r w:rsidRPr="009A21D1">
        <w:rPr>
          <w:szCs w:val="18"/>
        </w:rPr>
        <w:t xml:space="preserve"> </w:t>
      </w:r>
      <w:r>
        <w:rPr>
          <w:szCs w:val="18"/>
        </w:rPr>
        <w:tab/>
      </w:r>
      <w:r w:rsidRPr="009A21D1">
        <w:rPr>
          <w:szCs w:val="18"/>
        </w:rPr>
        <w:t xml:space="preserve">In the case of paragraph (o), the individual must beneficially own “financial assets”, as that term is defined in section 1.1 of NI 45- 106, that have an aggregate realizable value before tax but net of any related liabilities of at least $5 000 000 in Canadian dollars (or an equivalent amount in another currency). “Financial assets” is defined to include cash, securities or a deposit, or </w:t>
      </w:r>
      <w:proofErr w:type="gramStart"/>
      <w:r w:rsidRPr="009A21D1">
        <w:rPr>
          <w:szCs w:val="18"/>
        </w:rPr>
        <w:t>an evidence of a deposit</w:t>
      </w:r>
      <w:proofErr w:type="gramEnd"/>
      <w:r w:rsidRPr="009A21D1">
        <w:rPr>
          <w:szCs w:val="18"/>
        </w:rPr>
        <w:t xml:space="preserve"> that is not a security for the purposes of securities legislation. Realizable value is typically the amount that would be received by selling an asset. In general, determining whether financial assets are beneficially owned by an individual should be straightforward. However, this determination may be more difficult if financial assets are held in a trust or in other types of investment vehicles for the benefit of an individual. Factors indicating beneficial ownership of financial assets </w:t>
      </w:r>
      <w:proofErr w:type="gramStart"/>
      <w:r w:rsidRPr="009A21D1">
        <w:rPr>
          <w:szCs w:val="18"/>
        </w:rPr>
        <w:t>include:</w:t>
      </w:r>
      <w:proofErr w:type="gramEnd"/>
      <w:r w:rsidRPr="009A21D1">
        <w:rPr>
          <w:szCs w:val="18"/>
        </w:rPr>
        <w:t xml:space="preserve"> possession of evidence of ownership of the financial asset; entitlement to receive any income generated by the financial asset; risk of loss of the value of the financial asset; the ability to dispose of the financial asset or otherwise deal with it as the individual sees fit.</w:t>
      </w:r>
    </w:p>
  </w:footnote>
  <w:footnote w:id="11">
    <w:p w14:paraId="7E6A637D" w14:textId="77777777" w:rsidR="00FE6C6E" w:rsidRPr="009A21D1" w:rsidRDefault="00201EFA" w:rsidP="00FE6C6E">
      <w:pPr>
        <w:pStyle w:val="FootnoteText"/>
        <w:ind w:left="450" w:hanging="450"/>
        <w:jc w:val="both"/>
        <w:rPr>
          <w:szCs w:val="18"/>
        </w:rPr>
      </w:pPr>
      <w:r w:rsidRPr="009A21D1">
        <w:rPr>
          <w:rStyle w:val="FootnoteReference"/>
          <w:szCs w:val="18"/>
        </w:rPr>
        <w:footnoteRef/>
      </w:r>
      <w:r w:rsidRPr="009A21D1">
        <w:rPr>
          <w:szCs w:val="18"/>
        </w:rPr>
        <w:t xml:space="preserve"> </w:t>
      </w:r>
      <w:r>
        <w:rPr>
          <w:szCs w:val="18"/>
        </w:rPr>
        <w:tab/>
      </w:r>
      <w:r w:rsidRPr="009A21D1">
        <w:rPr>
          <w:szCs w:val="18"/>
        </w:rPr>
        <w:t xml:space="preserve">Paragraphs (n), (o) and (p) of the definition of Eligible Derivatives Party are not applicable for purposes of classifying the derivatives party that guarantees or otherwise fully supports the obligations under derivatives that the Named Person transacts with the Recipient as an Eligible Derivatives Party. </w:t>
      </w:r>
    </w:p>
  </w:footnote>
  <w:footnote w:id="12">
    <w:p w14:paraId="5277AC65" w14:textId="77777777" w:rsidR="00FE6C6E" w:rsidRPr="009A21D1" w:rsidRDefault="00201EFA" w:rsidP="00FE6C6E">
      <w:pPr>
        <w:pStyle w:val="FootnoteText"/>
        <w:ind w:left="450" w:hanging="450"/>
        <w:jc w:val="both"/>
        <w:rPr>
          <w:szCs w:val="18"/>
        </w:rPr>
      </w:pPr>
      <w:r w:rsidRPr="009A21D1">
        <w:rPr>
          <w:rStyle w:val="FootnoteReference"/>
          <w:szCs w:val="18"/>
        </w:rPr>
        <w:footnoteRef/>
      </w:r>
      <w:r w:rsidRPr="009A21D1">
        <w:rPr>
          <w:szCs w:val="18"/>
        </w:rPr>
        <w:t xml:space="preserve"> </w:t>
      </w:r>
      <w:r>
        <w:rPr>
          <w:szCs w:val="18"/>
        </w:rPr>
        <w:tab/>
      </w:r>
      <w:r w:rsidRPr="009A21D1">
        <w:rPr>
          <w:szCs w:val="18"/>
        </w:rPr>
        <w:t>If the Recipient is a Foreign Liquidity Provider, and the Named Person makes the representation in item 1 then the Recipient may rely on the exemption in section 37 of the Business Conduct Rule.</w:t>
      </w:r>
    </w:p>
  </w:footnote>
  <w:footnote w:id="13">
    <w:p w14:paraId="0BC4C6A2" w14:textId="3107782A" w:rsidR="001D77A1" w:rsidRDefault="00201EFA" w:rsidP="001D77A1">
      <w:pPr>
        <w:pStyle w:val="FootnoteText"/>
        <w:ind w:left="450" w:hanging="450"/>
        <w:jc w:val="both"/>
      </w:pPr>
      <w:r>
        <w:rPr>
          <w:rStyle w:val="FootnoteReference"/>
        </w:rPr>
        <w:footnoteRef/>
      </w:r>
      <w:r>
        <w:t xml:space="preserve"> </w:t>
      </w:r>
      <w:r>
        <w:tab/>
      </w:r>
      <w:r w:rsidR="009F71B3" w:rsidRPr="002B2AFC">
        <w:rPr>
          <w:highlight w:val="lightGray"/>
        </w:rPr>
        <w:t>For a further discussion of th</w:t>
      </w:r>
      <w:r w:rsidR="002B2AFC" w:rsidRPr="002B2AFC">
        <w:rPr>
          <w:highlight w:val="lightGray"/>
        </w:rPr>
        <w:t>is</w:t>
      </w:r>
      <w:r w:rsidR="009F71B3" w:rsidRPr="002B2AFC">
        <w:rPr>
          <w:highlight w:val="lightGray"/>
        </w:rPr>
        <w:t xml:space="preserve"> concept, r</w:t>
      </w:r>
      <w:r w:rsidRPr="002B2AFC">
        <w:rPr>
          <w:highlight w:val="lightGray"/>
        </w:rPr>
        <w:t xml:space="preserve">efer to the </w:t>
      </w:r>
      <w:r w:rsidR="002B2AFC" w:rsidRPr="002B2AFC">
        <w:rPr>
          <w:highlight w:val="lightGray"/>
        </w:rPr>
        <w:t xml:space="preserve">annotations under the </w:t>
      </w:r>
      <w:r w:rsidRPr="002B2AFC">
        <w:rPr>
          <w:highlight w:val="lightGray"/>
        </w:rPr>
        <w:t>definition of “derivatives dealer” in the Appendix</w:t>
      </w:r>
      <w:r w:rsidR="002B2AFC" w:rsidRPr="002B2AFC">
        <w:rPr>
          <w:highlight w:val="lightGray"/>
        </w:rPr>
        <w:t>.</w:t>
      </w:r>
    </w:p>
  </w:footnote>
  <w:footnote w:id="14">
    <w:p w14:paraId="541D6D71" w14:textId="77777777" w:rsidR="00FE6C6E" w:rsidRPr="009A21D1" w:rsidRDefault="00201EFA" w:rsidP="00FE6C6E">
      <w:pPr>
        <w:pStyle w:val="FootnoteText"/>
        <w:ind w:left="450" w:hanging="450"/>
        <w:jc w:val="both"/>
        <w:rPr>
          <w:szCs w:val="18"/>
        </w:rPr>
      </w:pPr>
      <w:r w:rsidRPr="009A21D1">
        <w:rPr>
          <w:rStyle w:val="FootnoteReference"/>
          <w:szCs w:val="18"/>
        </w:rPr>
        <w:footnoteRef/>
      </w:r>
      <w:r w:rsidRPr="009A21D1">
        <w:rPr>
          <w:szCs w:val="18"/>
        </w:rPr>
        <w:t xml:space="preserve"> </w:t>
      </w:r>
      <w:r>
        <w:rPr>
          <w:szCs w:val="18"/>
        </w:rPr>
        <w:tab/>
      </w:r>
      <w:r w:rsidRPr="009A21D1">
        <w:rPr>
          <w:szCs w:val="18"/>
        </w:rPr>
        <w:t>This term is generally defined to mean a person or company engaging in or holding itself out as engaging in the business of advising in securities (and, in certain jurisdictions, derivatives).</w:t>
      </w:r>
    </w:p>
  </w:footnote>
  <w:footnote w:id="15">
    <w:p w14:paraId="07FC5E39" w14:textId="77777777" w:rsidR="00FE6C6E" w:rsidRDefault="00201EFA" w:rsidP="00FE6C6E">
      <w:pPr>
        <w:pStyle w:val="FootnoteText"/>
        <w:ind w:left="450" w:hanging="450"/>
        <w:jc w:val="both"/>
      </w:pPr>
      <w:r>
        <w:rPr>
          <w:rStyle w:val="FootnoteReference"/>
        </w:rPr>
        <w:footnoteRef/>
      </w:r>
      <w:r>
        <w:t xml:space="preserve"> </w:t>
      </w:r>
      <w:r>
        <w:tab/>
      </w:r>
      <w:r w:rsidRPr="00154894">
        <w:t xml:space="preserve">See footnote </w:t>
      </w:r>
      <w:r>
        <w:t>9</w:t>
      </w:r>
      <w:r w:rsidRPr="00154894">
        <w:t>.</w:t>
      </w:r>
    </w:p>
  </w:footnote>
  <w:footnote w:id="16">
    <w:p w14:paraId="77B75FD5" w14:textId="77777777" w:rsidR="00FE6C6E" w:rsidRDefault="00201EFA" w:rsidP="00FE6C6E">
      <w:pPr>
        <w:pStyle w:val="FootnoteText"/>
        <w:ind w:left="450" w:hanging="450"/>
        <w:jc w:val="both"/>
      </w:pPr>
      <w:r>
        <w:rPr>
          <w:rStyle w:val="FootnoteReference"/>
        </w:rPr>
        <w:footnoteRef/>
      </w:r>
      <w:r>
        <w:t xml:space="preserve"> </w:t>
      </w:r>
      <w:r>
        <w:tab/>
        <w:t>See footnote 10.</w:t>
      </w:r>
    </w:p>
  </w:footnote>
  <w:footnote w:id="17">
    <w:p w14:paraId="50E4783F" w14:textId="77777777" w:rsidR="00FE6C6E" w:rsidRPr="009A21D1" w:rsidRDefault="00201EFA" w:rsidP="00FE6C6E">
      <w:pPr>
        <w:pStyle w:val="FootnoteText"/>
        <w:ind w:left="450" w:hanging="450"/>
        <w:jc w:val="both"/>
        <w:rPr>
          <w:szCs w:val="18"/>
        </w:rPr>
      </w:pPr>
      <w:r w:rsidRPr="009A21D1">
        <w:rPr>
          <w:rStyle w:val="FootnoteReference"/>
          <w:szCs w:val="18"/>
        </w:rPr>
        <w:footnoteRef/>
      </w:r>
      <w:r w:rsidRPr="009A21D1">
        <w:rPr>
          <w:szCs w:val="18"/>
        </w:rPr>
        <w:t xml:space="preserve"> </w:t>
      </w:r>
      <w:bookmarkStart w:id="11" w:name="_Hlk182073263"/>
      <w:r>
        <w:rPr>
          <w:szCs w:val="18"/>
        </w:rPr>
        <w:tab/>
      </w:r>
      <w:r w:rsidRPr="009A21D1">
        <w:rPr>
          <w:szCs w:val="18"/>
        </w:rPr>
        <w:t>This term is generally defined to mean a mutual fund (an issuer whose primary purpose is to invest money provided by its security holders and whose securities entitle the holder to receive on demand, or within a specified period after demand, an amount computed by reference to the value of a proportionate interest in the whole or in part of the net assets, including a separate fund or trust account, of the issuer) or a non-redeemable investment fund (a non-mutual fund issuer, whose primary purpose is to invest money provided by its security holders and that does not invest (i) for the purpose of exercising or seeking to exercise control of an issuer, other than an issuer that is a mutual fund or a non-redeemable investment fund or (ii) for the purpose of being actively involved in the management of any issuer in which it invests, other than an issuer that is a mutual fund or a non-redeemable investment fund)).</w:t>
      </w:r>
      <w:bookmarkEnd w:id="1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5EB1E" w14:textId="77777777" w:rsidR="00FE6C6E" w:rsidRDefault="00201EFA">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1CE22" w14:textId="77777777" w:rsidR="00D07ECD" w:rsidRPr="00240217" w:rsidRDefault="00D07ECD" w:rsidP="00240217">
    <w:pPr>
      <w:pStyle w:val="Header"/>
      <w:jc w:val="right"/>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AF8243"/>
    <w:multiLevelType w:val="hybridMultilevel"/>
    <w:tmpl w:val="FFFFFFFF"/>
    <w:lvl w:ilvl="0" w:tplc="48D4600A">
      <w:start w:val="1"/>
      <w:numFmt w:val="lowerLetter"/>
      <w:lvlText w:val=""/>
      <w:lvlJc w:val="left"/>
    </w:lvl>
    <w:lvl w:ilvl="1" w:tplc="D668D468">
      <w:numFmt w:val="decimal"/>
      <w:lvlText w:val=""/>
      <w:lvlJc w:val="left"/>
    </w:lvl>
    <w:lvl w:ilvl="2" w:tplc="3B1048DC">
      <w:numFmt w:val="decimal"/>
      <w:lvlText w:val=""/>
      <w:lvlJc w:val="left"/>
    </w:lvl>
    <w:lvl w:ilvl="3" w:tplc="6C3CD542">
      <w:numFmt w:val="decimal"/>
      <w:lvlText w:val=""/>
      <w:lvlJc w:val="left"/>
    </w:lvl>
    <w:lvl w:ilvl="4" w:tplc="CDC6ACAC">
      <w:numFmt w:val="decimal"/>
      <w:lvlText w:val=""/>
      <w:lvlJc w:val="left"/>
    </w:lvl>
    <w:lvl w:ilvl="5" w:tplc="F48AEBD6">
      <w:numFmt w:val="decimal"/>
      <w:lvlText w:val=""/>
      <w:lvlJc w:val="left"/>
    </w:lvl>
    <w:lvl w:ilvl="6" w:tplc="F210D8E0">
      <w:numFmt w:val="decimal"/>
      <w:lvlText w:val=""/>
      <w:lvlJc w:val="left"/>
    </w:lvl>
    <w:lvl w:ilvl="7" w:tplc="81C03AE4">
      <w:numFmt w:val="decimal"/>
      <w:lvlText w:val=""/>
      <w:lvlJc w:val="left"/>
    </w:lvl>
    <w:lvl w:ilvl="8" w:tplc="AF7CBCEA">
      <w:numFmt w:val="decimal"/>
      <w:lvlText w:val=""/>
      <w:lvlJc w:val="left"/>
    </w:lvl>
  </w:abstractNum>
  <w:abstractNum w:abstractNumId="1" w15:restartNumberingAfterBreak="0">
    <w:nsid w:val="FFFFFF7C"/>
    <w:multiLevelType w:val="singleLevel"/>
    <w:tmpl w:val="FA401AFA"/>
    <w:lvl w:ilvl="0">
      <w:start w:val="1"/>
      <w:numFmt w:val="decimal"/>
      <w:pStyle w:val="ListNumber5"/>
      <w:lvlText w:val="%1."/>
      <w:lvlJc w:val="left"/>
      <w:pPr>
        <w:tabs>
          <w:tab w:val="num" w:pos="1800"/>
        </w:tabs>
        <w:ind w:left="1800" w:hanging="360"/>
      </w:pPr>
    </w:lvl>
  </w:abstractNum>
  <w:abstractNum w:abstractNumId="2" w15:restartNumberingAfterBreak="0">
    <w:nsid w:val="FFFFFF7E"/>
    <w:multiLevelType w:val="singleLevel"/>
    <w:tmpl w:val="6C58F956"/>
    <w:lvl w:ilvl="0">
      <w:start w:val="1"/>
      <w:numFmt w:val="decimal"/>
      <w:pStyle w:val="ListNumber3"/>
      <w:lvlText w:val="%1."/>
      <w:lvlJc w:val="left"/>
      <w:pPr>
        <w:tabs>
          <w:tab w:val="num" w:pos="1080"/>
        </w:tabs>
        <w:ind w:left="1080" w:hanging="360"/>
      </w:pPr>
    </w:lvl>
  </w:abstractNum>
  <w:abstractNum w:abstractNumId="3" w15:restartNumberingAfterBreak="0">
    <w:nsid w:val="0316074A"/>
    <w:multiLevelType w:val="hybridMultilevel"/>
    <w:tmpl w:val="4EE2AEEE"/>
    <w:lvl w:ilvl="0" w:tplc="58B0D1CC">
      <w:start w:val="1"/>
      <w:numFmt w:val="upperLetter"/>
      <w:lvlText w:val="(%1)"/>
      <w:lvlJc w:val="left"/>
      <w:pPr>
        <w:ind w:left="720" w:hanging="360"/>
      </w:pPr>
      <w:rPr>
        <w:rFonts w:hint="default"/>
        <w:i w:val="0"/>
      </w:rPr>
    </w:lvl>
    <w:lvl w:ilvl="1" w:tplc="3724B388" w:tentative="1">
      <w:start w:val="1"/>
      <w:numFmt w:val="lowerLetter"/>
      <w:lvlText w:val="%2."/>
      <w:lvlJc w:val="left"/>
      <w:pPr>
        <w:ind w:left="1440" w:hanging="360"/>
      </w:pPr>
    </w:lvl>
    <w:lvl w:ilvl="2" w:tplc="DBD40A26" w:tentative="1">
      <w:start w:val="1"/>
      <w:numFmt w:val="lowerRoman"/>
      <w:lvlText w:val="%3."/>
      <w:lvlJc w:val="right"/>
      <w:pPr>
        <w:ind w:left="2160" w:hanging="180"/>
      </w:pPr>
    </w:lvl>
    <w:lvl w:ilvl="3" w:tplc="D8302B8E" w:tentative="1">
      <w:start w:val="1"/>
      <w:numFmt w:val="decimal"/>
      <w:lvlText w:val="%4."/>
      <w:lvlJc w:val="left"/>
      <w:pPr>
        <w:ind w:left="2880" w:hanging="360"/>
      </w:pPr>
    </w:lvl>
    <w:lvl w:ilvl="4" w:tplc="50D67504" w:tentative="1">
      <w:start w:val="1"/>
      <w:numFmt w:val="lowerLetter"/>
      <w:lvlText w:val="%5."/>
      <w:lvlJc w:val="left"/>
      <w:pPr>
        <w:ind w:left="3600" w:hanging="360"/>
      </w:pPr>
    </w:lvl>
    <w:lvl w:ilvl="5" w:tplc="9880D65A" w:tentative="1">
      <w:start w:val="1"/>
      <w:numFmt w:val="lowerRoman"/>
      <w:lvlText w:val="%6."/>
      <w:lvlJc w:val="right"/>
      <w:pPr>
        <w:ind w:left="4320" w:hanging="180"/>
      </w:pPr>
    </w:lvl>
    <w:lvl w:ilvl="6" w:tplc="DA1CEBB0" w:tentative="1">
      <w:start w:val="1"/>
      <w:numFmt w:val="decimal"/>
      <w:lvlText w:val="%7."/>
      <w:lvlJc w:val="left"/>
      <w:pPr>
        <w:ind w:left="5040" w:hanging="360"/>
      </w:pPr>
    </w:lvl>
    <w:lvl w:ilvl="7" w:tplc="84180008" w:tentative="1">
      <w:start w:val="1"/>
      <w:numFmt w:val="lowerLetter"/>
      <w:lvlText w:val="%8."/>
      <w:lvlJc w:val="left"/>
      <w:pPr>
        <w:ind w:left="5760" w:hanging="360"/>
      </w:pPr>
    </w:lvl>
    <w:lvl w:ilvl="8" w:tplc="6BC29142" w:tentative="1">
      <w:start w:val="1"/>
      <w:numFmt w:val="lowerRoman"/>
      <w:lvlText w:val="%9."/>
      <w:lvlJc w:val="right"/>
      <w:pPr>
        <w:ind w:left="6480" w:hanging="180"/>
      </w:pPr>
    </w:lvl>
  </w:abstractNum>
  <w:abstractNum w:abstractNumId="4" w15:restartNumberingAfterBreak="0">
    <w:nsid w:val="084E4FBD"/>
    <w:multiLevelType w:val="hybridMultilevel"/>
    <w:tmpl w:val="2B0A9508"/>
    <w:lvl w:ilvl="0" w:tplc="75A0E256">
      <w:start w:val="1"/>
      <w:numFmt w:val="upperLetter"/>
      <w:lvlText w:val="(%1)"/>
      <w:lvlJc w:val="left"/>
      <w:pPr>
        <w:ind w:left="720" w:hanging="360"/>
      </w:pPr>
      <w:rPr>
        <w:rFonts w:hint="default"/>
        <w:i w:val="0"/>
        <w:u w:val="none"/>
      </w:rPr>
    </w:lvl>
    <w:lvl w:ilvl="1" w:tplc="9E7448CA" w:tentative="1">
      <w:start w:val="1"/>
      <w:numFmt w:val="lowerLetter"/>
      <w:lvlText w:val="%2."/>
      <w:lvlJc w:val="left"/>
      <w:pPr>
        <w:ind w:left="1440" w:hanging="360"/>
      </w:pPr>
    </w:lvl>
    <w:lvl w:ilvl="2" w:tplc="F34AFD18" w:tentative="1">
      <w:start w:val="1"/>
      <w:numFmt w:val="lowerRoman"/>
      <w:lvlText w:val="%3."/>
      <w:lvlJc w:val="right"/>
      <w:pPr>
        <w:ind w:left="2160" w:hanging="180"/>
      </w:pPr>
    </w:lvl>
    <w:lvl w:ilvl="3" w:tplc="444C8080" w:tentative="1">
      <w:start w:val="1"/>
      <w:numFmt w:val="decimal"/>
      <w:lvlText w:val="%4."/>
      <w:lvlJc w:val="left"/>
      <w:pPr>
        <w:ind w:left="2880" w:hanging="360"/>
      </w:pPr>
    </w:lvl>
    <w:lvl w:ilvl="4" w:tplc="128A9EDC" w:tentative="1">
      <w:start w:val="1"/>
      <w:numFmt w:val="lowerLetter"/>
      <w:lvlText w:val="%5."/>
      <w:lvlJc w:val="left"/>
      <w:pPr>
        <w:ind w:left="3600" w:hanging="360"/>
      </w:pPr>
    </w:lvl>
    <w:lvl w:ilvl="5" w:tplc="E3EA421E" w:tentative="1">
      <w:start w:val="1"/>
      <w:numFmt w:val="lowerRoman"/>
      <w:lvlText w:val="%6."/>
      <w:lvlJc w:val="right"/>
      <w:pPr>
        <w:ind w:left="4320" w:hanging="180"/>
      </w:pPr>
    </w:lvl>
    <w:lvl w:ilvl="6" w:tplc="E7C63BBC" w:tentative="1">
      <w:start w:val="1"/>
      <w:numFmt w:val="decimal"/>
      <w:lvlText w:val="%7."/>
      <w:lvlJc w:val="left"/>
      <w:pPr>
        <w:ind w:left="5040" w:hanging="360"/>
      </w:pPr>
    </w:lvl>
    <w:lvl w:ilvl="7" w:tplc="23109010" w:tentative="1">
      <w:start w:val="1"/>
      <w:numFmt w:val="lowerLetter"/>
      <w:lvlText w:val="%8."/>
      <w:lvlJc w:val="left"/>
      <w:pPr>
        <w:ind w:left="5760" w:hanging="360"/>
      </w:pPr>
    </w:lvl>
    <w:lvl w:ilvl="8" w:tplc="3196BB5C" w:tentative="1">
      <w:start w:val="1"/>
      <w:numFmt w:val="lowerRoman"/>
      <w:lvlText w:val="%9."/>
      <w:lvlJc w:val="right"/>
      <w:pPr>
        <w:ind w:left="6480" w:hanging="180"/>
      </w:pPr>
    </w:lvl>
  </w:abstractNum>
  <w:abstractNum w:abstractNumId="5" w15:restartNumberingAfterBreak="0">
    <w:nsid w:val="085F5B22"/>
    <w:multiLevelType w:val="hybridMultilevel"/>
    <w:tmpl w:val="78F609B4"/>
    <w:name w:val="UnnamedList70839"/>
    <w:lvl w:ilvl="0" w:tplc="1EBEE320">
      <w:numFmt w:val="bullet"/>
      <w:lvlText w:val="-"/>
      <w:lvlJc w:val="left"/>
      <w:pPr>
        <w:ind w:left="720" w:hanging="360"/>
      </w:pPr>
      <w:rPr>
        <w:rFonts w:ascii="Times New Roman" w:eastAsia="Calibri" w:hAnsi="Times New Roman" w:cs="Times New Roman" w:hint="default"/>
      </w:rPr>
    </w:lvl>
    <w:lvl w:ilvl="1" w:tplc="F5C076AE" w:tentative="1">
      <w:start w:val="1"/>
      <w:numFmt w:val="bullet"/>
      <w:lvlText w:val="o"/>
      <w:lvlJc w:val="left"/>
      <w:pPr>
        <w:ind w:left="1440" w:hanging="360"/>
      </w:pPr>
      <w:rPr>
        <w:rFonts w:ascii="Courier New" w:hAnsi="Courier New" w:cs="Courier New" w:hint="default"/>
      </w:rPr>
    </w:lvl>
    <w:lvl w:ilvl="2" w:tplc="7584ECFA" w:tentative="1">
      <w:start w:val="1"/>
      <w:numFmt w:val="bullet"/>
      <w:lvlText w:val=""/>
      <w:lvlJc w:val="left"/>
      <w:pPr>
        <w:ind w:left="2160" w:hanging="360"/>
      </w:pPr>
      <w:rPr>
        <w:rFonts w:ascii="Wingdings" w:hAnsi="Wingdings" w:hint="default"/>
      </w:rPr>
    </w:lvl>
    <w:lvl w:ilvl="3" w:tplc="C3345A9E" w:tentative="1">
      <w:start w:val="1"/>
      <w:numFmt w:val="bullet"/>
      <w:lvlText w:val=""/>
      <w:lvlJc w:val="left"/>
      <w:pPr>
        <w:ind w:left="2880" w:hanging="360"/>
      </w:pPr>
      <w:rPr>
        <w:rFonts w:ascii="Symbol" w:hAnsi="Symbol" w:hint="default"/>
      </w:rPr>
    </w:lvl>
    <w:lvl w:ilvl="4" w:tplc="E7CAE2C2" w:tentative="1">
      <w:start w:val="1"/>
      <w:numFmt w:val="bullet"/>
      <w:lvlText w:val="o"/>
      <w:lvlJc w:val="left"/>
      <w:pPr>
        <w:ind w:left="3600" w:hanging="360"/>
      </w:pPr>
      <w:rPr>
        <w:rFonts w:ascii="Courier New" w:hAnsi="Courier New" w:cs="Courier New" w:hint="default"/>
      </w:rPr>
    </w:lvl>
    <w:lvl w:ilvl="5" w:tplc="B1DCFB4C" w:tentative="1">
      <w:start w:val="1"/>
      <w:numFmt w:val="bullet"/>
      <w:lvlText w:val=""/>
      <w:lvlJc w:val="left"/>
      <w:pPr>
        <w:ind w:left="4320" w:hanging="360"/>
      </w:pPr>
      <w:rPr>
        <w:rFonts w:ascii="Wingdings" w:hAnsi="Wingdings" w:hint="default"/>
      </w:rPr>
    </w:lvl>
    <w:lvl w:ilvl="6" w:tplc="1B562C64" w:tentative="1">
      <w:start w:val="1"/>
      <w:numFmt w:val="bullet"/>
      <w:lvlText w:val=""/>
      <w:lvlJc w:val="left"/>
      <w:pPr>
        <w:ind w:left="5040" w:hanging="360"/>
      </w:pPr>
      <w:rPr>
        <w:rFonts w:ascii="Symbol" w:hAnsi="Symbol" w:hint="default"/>
      </w:rPr>
    </w:lvl>
    <w:lvl w:ilvl="7" w:tplc="6E26183A" w:tentative="1">
      <w:start w:val="1"/>
      <w:numFmt w:val="bullet"/>
      <w:lvlText w:val="o"/>
      <w:lvlJc w:val="left"/>
      <w:pPr>
        <w:ind w:left="5760" w:hanging="360"/>
      </w:pPr>
      <w:rPr>
        <w:rFonts w:ascii="Courier New" w:hAnsi="Courier New" w:cs="Courier New" w:hint="default"/>
      </w:rPr>
    </w:lvl>
    <w:lvl w:ilvl="8" w:tplc="D57CA5D0" w:tentative="1">
      <w:start w:val="1"/>
      <w:numFmt w:val="bullet"/>
      <w:lvlText w:val=""/>
      <w:lvlJc w:val="left"/>
      <w:pPr>
        <w:ind w:left="6480" w:hanging="360"/>
      </w:pPr>
      <w:rPr>
        <w:rFonts w:ascii="Wingdings" w:hAnsi="Wingdings" w:hint="default"/>
      </w:rPr>
    </w:lvl>
  </w:abstractNum>
  <w:abstractNum w:abstractNumId="6" w15:restartNumberingAfterBreak="0">
    <w:nsid w:val="0CA4E5C2"/>
    <w:multiLevelType w:val="hybridMultilevel"/>
    <w:tmpl w:val="FFFFFFFF"/>
    <w:lvl w:ilvl="0" w:tplc="5C605E66">
      <w:start w:val="1"/>
      <w:numFmt w:val="lowerLetter"/>
      <w:lvlText w:val=""/>
      <w:lvlJc w:val="left"/>
    </w:lvl>
    <w:lvl w:ilvl="1" w:tplc="E2927D00">
      <w:numFmt w:val="decimal"/>
      <w:lvlText w:val=""/>
      <w:lvlJc w:val="left"/>
    </w:lvl>
    <w:lvl w:ilvl="2" w:tplc="EA708756">
      <w:numFmt w:val="decimal"/>
      <w:lvlText w:val=""/>
      <w:lvlJc w:val="left"/>
    </w:lvl>
    <w:lvl w:ilvl="3" w:tplc="4F8E779A">
      <w:numFmt w:val="decimal"/>
      <w:lvlText w:val=""/>
      <w:lvlJc w:val="left"/>
    </w:lvl>
    <w:lvl w:ilvl="4" w:tplc="D4A2D46A">
      <w:numFmt w:val="decimal"/>
      <w:lvlText w:val=""/>
      <w:lvlJc w:val="left"/>
    </w:lvl>
    <w:lvl w:ilvl="5" w:tplc="7E1CA04E">
      <w:numFmt w:val="decimal"/>
      <w:lvlText w:val=""/>
      <w:lvlJc w:val="left"/>
    </w:lvl>
    <w:lvl w:ilvl="6" w:tplc="832EEF7E">
      <w:numFmt w:val="decimal"/>
      <w:lvlText w:val=""/>
      <w:lvlJc w:val="left"/>
    </w:lvl>
    <w:lvl w:ilvl="7" w:tplc="3836CD3A">
      <w:numFmt w:val="decimal"/>
      <w:lvlText w:val=""/>
      <w:lvlJc w:val="left"/>
    </w:lvl>
    <w:lvl w:ilvl="8" w:tplc="DAA80824">
      <w:numFmt w:val="decimal"/>
      <w:lvlText w:val=""/>
      <w:lvlJc w:val="left"/>
    </w:lvl>
  </w:abstractNum>
  <w:abstractNum w:abstractNumId="7" w15:restartNumberingAfterBreak="0">
    <w:nsid w:val="0F7A6248"/>
    <w:multiLevelType w:val="hybridMultilevel"/>
    <w:tmpl w:val="80664D8A"/>
    <w:lvl w:ilvl="0" w:tplc="E32C8F88">
      <w:start w:val="1"/>
      <w:numFmt w:val="upperLetter"/>
      <w:lvlText w:val="(%1)"/>
      <w:lvlJc w:val="left"/>
      <w:pPr>
        <w:ind w:left="720" w:hanging="360"/>
      </w:pPr>
      <w:rPr>
        <w:rFonts w:hint="default"/>
      </w:rPr>
    </w:lvl>
    <w:lvl w:ilvl="1" w:tplc="F26230E6" w:tentative="1">
      <w:start w:val="1"/>
      <w:numFmt w:val="lowerLetter"/>
      <w:lvlText w:val="%2."/>
      <w:lvlJc w:val="left"/>
      <w:pPr>
        <w:ind w:left="1440" w:hanging="360"/>
      </w:pPr>
    </w:lvl>
    <w:lvl w:ilvl="2" w:tplc="717AC494" w:tentative="1">
      <w:start w:val="1"/>
      <w:numFmt w:val="lowerRoman"/>
      <w:lvlText w:val="%3."/>
      <w:lvlJc w:val="right"/>
      <w:pPr>
        <w:ind w:left="2160" w:hanging="180"/>
      </w:pPr>
    </w:lvl>
    <w:lvl w:ilvl="3" w:tplc="EE087220" w:tentative="1">
      <w:start w:val="1"/>
      <w:numFmt w:val="decimal"/>
      <w:lvlText w:val="%4."/>
      <w:lvlJc w:val="left"/>
      <w:pPr>
        <w:ind w:left="2880" w:hanging="360"/>
      </w:pPr>
    </w:lvl>
    <w:lvl w:ilvl="4" w:tplc="BC5A4828" w:tentative="1">
      <w:start w:val="1"/>
      <w:numFmt w:val="lowerLetter"/>
      <w:lvlText w:val="%5."/>
      <w:lvlJc w:val="left"/>
      <w:pPr>
        <w:ind w:left="3600" w:hanging="360"/>
      </w:pPr>
    </w:lvl>
    <w:lvl w:ilvl="5" w:tplc="B7FCEE60" w:tentative="1">
      <w:start w:val="1"/>
      <w:numFmt w:val="lowerRoman"/>
      <w:lvlText w:val="%6."/>
      <w:lvlJc w:val="right"/>
      <w:pPr>
        <w:ind w:left="4320" w:hanging="180"/>
      </w:pPr>
    </w:lvl>
    <w:lvl w:ilvl="6" w:tplc="60645944" w:tentative="1">
      <w:start w:val="1"/>
      <w:numFmt w:val="decimal"/>
      <w:lvlText w:val="%7."/>
      <w:lvlJc w:val="left"/>
      <w:pPr>
        <w:ind w:left="5040" w:hanging="360"/>
      </w:pPr>
    </w:lvl>
    <w:lvl w:ilvl="7" w:tplc="DC3475E2" w:tentative="1">
      <w:start w:val="1"/>
      <w:numFmt w:val="lowerLetter"/>
      <w:lvlText w:val="%8."/>
      <w:lvlJc w:val="left"/>
      <w:pPr>
        <w:ind w:left="5760" w:hanging="360"/>
      </w:pPr>
    </w:lvl>
    <w:lvl w:ilvl="8" w:tplc="DE865656" w:tentative="1">
      <w:start w:val="1"/>
      <w:numFmt w:val="lowerRoman"/>
      <w:lvlText w:val="%9."/>
      <w:lvlJc w:val="right"/>
      <w:pPr>
        <w:ind w:left="6480" w:hanging="180"/>
      </w:pPr>
    </w:lvl>
  </w:abstractNum>
  <w:abstractNum w:abstractNumId="8" w15:restartNumberingAfterBreak="0">
    <w:nsid w:val="13B71744"/>
    <w:multiLevelType w:val="hybridMultilevel"/>
    <w:tmpl w:val="0DB2D09E"/>
    <w:name w:val="UnnamedList70371"/>
    <w:lvl w:ilvl="0" w:tplc="D3B0C3FE">
      <w:start w:val="1"/>
      <w:numFmt w:val="bullet"/>
      <w:lvlText w:val=""/>
      <w:lvlJc w:val="left"/>
      <w:pPr>
        <w:ind w:left="1800" w:hanging="360"/>
      </w:pPr>
      <w:rPr>
        <w:rFonts w:ascii="Symbol" w:hAnsi="Symbol" w:hint="default"/>
      </w:rPr>
    </w:lvl>
    <w:lvl w:ilvl="1" w:tplc="8BC0C0CC" w:tentative="1">
      <w:start w:val="1"/>
      <w:numFmt w:val="bullet"/>
      <w:lvlText w:val="o"/>
      <w:lvlJc w:val="left"/>
      <w:pPr>
        <w:ind w:left="2520" w:hanging="360"/>
      </w:pPr>
      <w:rPr>
        <w:rFonts w:ascii="Courier New" w:hAnsi="Courier New" w:cs="Courier New" w:hint="default"/>
      </w:rPr>
    </w:lvl>
    <w:lvl w:ilvl="2" w:tplc="CF5CA986" w:tentative="1">
      <w:start w:val="1"/>
      <w:numFmt w:val="bullet"/>
      <w:lvlText w:val=""/>
      <w:lvlJc w:val="left"/>
      <w:pPr>
        <w:ind w:left="3240" w:hanging="360"/>
      </w:pPr>
      <w:rPr>
        <w:rFonts w:ascii="Wingdings" w:hAnsi="Wingdings" w:hint="default"/>
      </w:rPr>
    </w:lvl>
    <w:lvl w:ilvl="3" w:tplc="ECE21D20" w:tentative="1">
      <w:start w:val="1"/>
      <w:numFmt w:val="bullet"/>
      <w:lvlText w:val=""/>
      <w:lvlJc w:val="left"/>
      <w:pPr>
        <w:ind w:left="3960" w:hanging="360"/>
      </w:pPr>
      <w:rPr>
        <w:rFonts w:ascii="Symbol" w:hAnsi="Symbol" w:hint="default"/>
      </w:rPr>
    </w:lvl>
    <w:lvl w:ilvl="4" w:tplc="942A9BB6" w:tentative="1">
      <w:start w:val="1"/>
      <w:numFmt w:val="bullet"/>
      <w:lvlText w:val="o"/>
      <w:lvlJc w:val="left"/>
      <w:pPr>
        <w:ind w:left="4680" w:hanging="360"/>
      </w:pPr>
      <w:rPr>
        <w:rFonts w:ascii="Courier New" w:hAnsi="Courier New" w:cs="Courier New" w:hint="default"/>
      </w:rPr>
    </w:lvl>
    <w:lvl w:ilvl="5" w:tplc="FE745D84" w:tentative="1">
      <w:start w:val="1"/>
      <w:numFmt w:val="bullet"/>
      <w:lvlText w:val=""/>
      <w:lvlJc w:val="left"/>
      <w:pPr>
        <w:ind w:left="5400" w:hanging="360"/>
      </w:pPr>
      <w:rPr>
        <w:rFonts w:ascii="Wingdings" w:hAnsi="Wingdings" w:hint="default"/>
      </w:rPr>
    </w:lvl>
    <w:lvl w:ilvl="6" w:tplc="E77621FC" w:tentative="1">
      <w:start w:val="1"/>
      <w:numFmt w:val="bullet"/>
      <w:lvlText w:val=""/>
      <w:lvlJc w:val="left"/>
      <w:pPr>
        <w:ind w:left="6120" w:hanging="360"/>
      </w:pPr>
      <w:rPr>
        <w:rFonts w:ascii="Symbol" w:hAnsi="Symbol" w:hint="default"/>
      </w:rPr>
    </w:lvl>
    <w:lvl w:ilvl="7" w:tplc="3708A0B4" w:tentative="1">
      <w:start w:val="1"/>
      <w:numFmt w:val="bullet"/>
      <w:lvlText w:val="o"/>
      <w:lvlJc w:val="left"/>
      <w:pPr>
        <w:ind w:left="6840" w:hanging="360"/>
      </w:pPr>
      <w:rPr>
        <w:rFonts w:ascii="Courier New" w:hAnsi="Courier New" w:cs="Courier New" w:hint="default"/>
      </w:rPr>
    </w:lvl>
    <w:lvl w:ilvl="8" w:tplc="B4C0E270" w:tentative="1">
      <w:start w:val="1"/>
      <w:numFmt w:val="bullet"/>
      <w:lvlText w:val=""/>
      <w:lvlJc w:val="left"/>
      <w:pPr>
        <w:ind w:left="7560" w:hanging="360"/>
      </w:pPr>
      <w:rPr>
        <w:rFonts w:ascii="Wingdings" w:hAnsi="Wingdings" w:hint="default"/>
      </w:rPr>
    </w:lvl>
  </w:abstractNum>
  <w:abstractNum w:abstractNumId="9" w15:restartNumberingAfterBreak="0">
    <w:nsid w:val="144A1F55"/>
    <w:multiLevelType w:val="hybridMultilevel"/>
    <w:tmpl w:val="0014438A"/>
    <w:name w:val="UnnamedList80496"/>
    <w:lvl w:ilvl="0" w:tplc="1CA66248">
      <w:start w:val="1"/>
      <w:numFmt w:val="decimal"/>
      <w:lvlText w:val="%1."/>
      <w:lvlJc w:val="left"/>
      <w:pPr>
        <w:ind w:left="720" w:hanging="360"/>
      </w:pPr>
    </w:lvl>
    <w:lvl w:ilvl="1" w:tplc="DE46CE46">
      <w:start w:val="1"/>
      <w:numFmt w:val="lowerLetter"/>
      <w:lvlText w:val="%2."/>
      <w:lvlJc w:val="left"/>
      <w:pPr>
        <w:ind w:left="1440" w:hanging="360"/>
      </w:pPr>
      <w:rPr>
        <w:b w:val="0"/>
        <w:bCs/>
      </w:rPr>
    </w:lvl>
    <w:lvl w:ilvl="2" w:tplc="0400D510" w:tentative="1">
      <w:start w:val="1"/>
      <w:numFmt w:val="lowerRoman"/>
      <w:lvlText w:val="%3."/>
      <w:lvlJc w:val="right"/>
      <w:pPr>
        <w:ind w:left="2160" w:hanging="180"/>
      </w:pPr>
    </w:lvl>
    <w:lvl w:ilvl="3" w:tplc="7EDAE5F0" w:tentative="1">
      <w:start w:val="1"/>
      <w:numFmt w:val="decimal"/>
      <w:lvlText w:val="%4."/>
      <w:lvlJc w:val="left"/>
      <w:pPr>
        <w:ind w:left="2880" w:hanging="360"/>
      </w:pPr>
    </w:lvl>
    <w:lvl w:ilvl="4" w:tplc="AE06C852" w:tentative="1">
      <w:start w:val="1"/>
      <w:numFmt w:val="lowerLetter"/>
      <w:lvlText w:val="%5."/>
      <w:lvlJc w:val="left"/>
      <w:pPr>
        <w:ind w:left="3600" w:hanging="360"/>
      </w:pPr>
    </w:lvl>
    <w:lvl w:ilvl="5" w:tplc="67209CD4" w:tentative="1">
      <w:start w:val="1"/>
      <w:numFmt w:val="lowerRoman"/>
      <w:lvlText w:val="%6."/>
      <w:lvlJc w:val="right"/>
      <w:pPr>
        <w:ind w:left="4320" w:hanging="180"/>
      </w:pPr>
    </w:lvl>
    <w:lvl w:ilvl="6" w:tplc="1654E9E8" w:tentative="1">
      <w:start w:val="1"/>
      <w:numFmt w:val="decimal"/>
      <w:lvlText w:val="%7."/>
      <w:lvlJc w:val="left"/>
      <w:pPr>
        <w:ind w:left="5040" w:hanging="360"/>
      </w:pPr>
    </w:lvl>
    <w:lvl w:ilvl="7" w:tplc="FE8C05B6" w:tentative="1">
      <w:start w:val="1"/>
      <w:numFmt w:val="lowerLetter"/>
      <w:lvlText w:val="%8."/>
      <w:lvlJc w:val="left"/>
      <w:pPr>
        <w:ind w:left="5760" w:hanging="360"/>
      </w:pPr>
    </w:lvl>
    <w:lvl w:ilvl="8" w:tplc="8140D504" w:tentative="1">
      <w:start w:val="1"/>
      <w:numFmt w:val="lowerRoman"/>
      <w:lvlText w:val="%9."/>
      <w:lvlJc w:val="right"/>
      <w:pPr>
        <w:ind w:left="6480" w:hanging="180"/>
      </w:pPr>
    </w:lvl>
  </w:abstractNum>
  <w:abstractNum w:abstractNumId="10" w15:restartNumberingAfterBreak="0">
    <w:nsid w:val="1791535C"/>
    <w:multiLevelType w:val="hybridMultilevel"/>
    <w:tmpl w:val="0014438A"/>
    <w:lvl w:ilvl="0" w:tplc="045EF14E">
      <w:start w:val="1"/>
      <w:numFmt w:val="decimal"/>
      <w:lvlText w:val="%1."/>
      <w:lvlJc w:val="left"/>
      <w:pPr>
        <w:ind w:left="720" w:hanging="360"/>
      </w:pPr>
    </w:lvl>
    <w:lvl w:ilvl="1" w:tplc="C80055DA">
      <w:start w:val="1"/>
      <w:numFmt w:val="lowerLetter"/>
      <w:lvlText w:val="%2."/>
      <w:lvlJc w:val="left"/>
      <w:pPr>
        <w:ind w:left="1440" w:hanging="360"/>
      </w:pPr>
      <w:rPr>
        <w:b w:val="0"/>
        <w:bCs/>
      </w:rPr>
    </w:lvl>
    <w:lvl w:ilvl="2" w:tplc="DC08D98A" w:tentative="1">
      <w:start w:val="1"/>
      <w:numFmt w:val="lowerRoman"/>
      <w:lvlText w:val="%3."/>
      <w:lvlJc w:val="right"/>
      <w:pPr>
        <w:ind w:left="2160" w:hanging="180"/>
      </w:pPr>
    </w:lvl>
    <w:lvl w:ilvl="3" w:tplc="324858B6" w:tentative="1">
      <w:start w:val="1"/>
      <w:numFmt w:val="decimal"/>
      <w:lvlText w:val="%4."/>
      <w:lvlJc w:val="left"/>
      <w:pPr>
        <w:ind w:left="2880" w:hanging="360"/>
      </w:pPr>
    </w:lvl>
    <w:lvl w:ilvl="4" w:tplc="C0AC393C" w:tentative="1">
      <w:start w:val="1"/>
      <w:numFmt w:val="lowerLetter"/>
      <w:lvlText w:val="%5."/>
      <w:lvlJc w:val="left"/>
      <w:pPr>
        <w:ind w:left="3600" w:hanging="360"/>
      </w:pPr>
    </w:lvl>
    <w:lvl w:ilvl="5" w:tplc="03447EE8" w:tentative="1">
      <w:start w:val="1"/>
      <w:numFmt w:val="lowerRoman"/>
      <w:lvlText w:val="%6."/>
      <w:lvlJc w:val="right"/>
      <w:pPr>
        <w:ind w:left="4320" w:hanging="180"/>
      </w:pPr>
    </w:lvl>
    <w:lvl w:ilvl="6" w:tplc="1EA852DC" w:tentative="1">
      <w:start w:val="1"/>
      <w:numFmt w:val="decimal"/>
      <w:lvlText w:val="%7."/>
      <w:lvlJc w:val="left"/>
      <w:pPr>
        <w:ind w:left="5040" w:hanging="360"/>
      </w:pPr>
    </w:lvl>
    <w:lvl w:ilvl="7" w:tplc="1CB81F00" w:tentative="1">
      <w:start w:val="1"/>
      <w:numFmt w:val="lowerLetter"/>
      <w:lvlText w:val="%8."/>
      <w:lvlJc w:val="left"/>
      <w:pPr>
        <w:ind w:left="5760" w:hanging="360"/>
      </w:pPr>
    </w:lvl>
    <w:lvl w:ilvl="8" w:tplc="9912DC72" w:tentative="1">
      <w:start w:val="1"/>
      <w:numFmt w:val="lowerRoman"/>
      <w:lvlText w:val="%9."/>
      <w:lvlJc w:val="right"/>
      <w:pPr>
        <w:ind w:left="6480" w:hanging="180"/>
      </w:pPr>
    </w:lvl>
  </w:abstractNum>
  <w:abstractNum w:abstractNumId="11" w15:restartNumberingAfterBreak="0">
    <w:nsid w:val="1A1727C7"/>
    <w:multiLevelType w:val="hybridMultilevel"/>
    <w:tmpl w:val="CE8EA0F4"/>
    <w:lvl w:ilvl="0" w:tplc="753C20CA">
      <w:start w:val="1"/>
      <w:numFmt w:val="decimal"/>
      <w:lvlText w:val="%1."/>
      <w:lvlJc w:val="left"/>
      <w:pPr>
        <w:ind w:left="720" w:hanging="360"/>
      </w:pPr>
      <w:rPr>
        <w:rFonts w:hint="default"/>
        <w:i w:val="0"/>
        <w:u w:val="none"/>
      </w:rPr>
    </w:lvl>
    <w:lvl w:ilvl="1" w:tplc="5B52CCC2" w:tentative="1">
      <w:start w:val="1"/>
      <w:numFmt w:val="lowerLetter"/>
      <w:lvlText w:val="%2."/>
      <w:lvlJc w:val="left"/>
      <w:pPr>
        <w:ind w:left="1440" w:hanging="360"/>
      </w:pPr>
    </w:lvl>
    <w:lvl w:ilvl="2" w:tplc="A6CEC9D0" w:tentative="1">
      <w:start w:val="1"/>
      <w:numFmt w:val="lowerRoman"/>
      <w:lvlText w:val="%3."/>
      <w:lvlJc w:val="right"/>
      <w:pPr>
        <w:ind w:left="2160" w:hanging="180"/>
      </w:pPr>
    </w:lvl>
    <w:lvl w:ilvl="3" w:tplc="DC84449A" w:tentative="1">
      <w:start w:val="1"/>
      <w:numFmt w:val="decimal"/>
      <w:lvlText w:val="%4."/>
      <w:lvlJc w:val="left"/>
      <w:pPr>
        <w:ind w:left="2880" w:hanging="360"/>
      </w:pPr>
    </w:lvl>
    <w:lvl w:ilvl="4" w:tplc="59129634" w:tentative="1">
      <w:start w:val="1"/>
      <w:numFmt w:val="lowerLetter"/>
      <w:lvlText w:val="%5."/>
      <w:lvlJc w:val="left"/>
      <w:pPr>
        <w:ind w:left="3600" w:hanging="360"/>
      </w:pPr>
    </w:lvl>
    <w:lvl w:ilvl="5" w:tplc="CF78DB2E" w:tentative="1">
      <w:start w:val="1"/>
      <w:numFmt w:val="lowerRoman"/>
      <w:lvlText w:val="%6."/>
      <w:lvlJc w:val="right"/>
      <w:pPr>
        <w:ind w:left="4320" w:hanging="180"/>
      </w:pPr>
    </w:lvl>
    <w:lvl w:ilvl="6" w:tplc="0762924C" w:tentative="1">
      <w:start w:val="1"/>
      <w:numFmt w:val="decimal"/>
      <w:lvlText w:val="%7."/>
      <w:lvlJc w:val="left"/>
      <w:pPr>
        <w:ind w:left="5040" w:hanging="360"/>
      </w:pPr>
    </w:lvl>
    <w:lvl w:ilvl="7" w:tplc="F8F80B1C" w:tentative="1">
      <w:start w:val="1"/>
      <w:numFmt w:val="lowerLetter"/>
      <w:lvlText w:val="%8."/>
      <w:lvlJc w:val="left"/>
      <w:pPr>
        <w:ind w:left="5760" w:hanging="360"/>
      </w:pPr>
    </w:lvl>
    <w:lvl w:ilvl="8" w:tplc="727A236E" w:tentative="1">
      <w:start w:val="1"/>
      <w:numFmt w:val="lowerRoman"/>
      <w:lvlText w:val="%9."/>
      <w:lvlJc w:val="right"/>
      <w:pPr>
        <w:ind w:left="6480" w:hanging="180"/>
      </w:pPr>
    </w:lvl>
  </w:abstractNum>
  <w:abstractNum w:abstractNumId="12" w15:restartNumberingAfterBreak="0">
    <w:nsid w:val="1E073A52"/>
    <w:multiLevelType w:val="hybridMultilevel"/>
    <w:tmpl w:val="4EE2AEEE"/>
    <w:lvl w:ilvl="0" w:tplc="17F8DC56">
      <w:start w:val="1"/>
      <w:numFmt w:val="upperLetter"/>
      <w:lvlText w:val="(%1)"/>
      <w:lvlJc w:val="left"/>
      <w:pPr>
        <w:ind w:left="720" w:hanging="360"/>
      </w:pPr>
      <w:rPr>
        <w:rFonts w:hint="default"/>
        <w:i w:val="0"/>
      </w:rPr>
    </w:lvl>
    <w:lvl w:ilvl="1" w:tplc="8AFA2034" w:tentative="1">
      <w:start w:val="1"/>
      <w:numFmt w:val="lowerLetter"/>
      <w:lvlText w:val="%2."/>
      <w:lvlJc w:val="left"/>
      <w:pPr>
        <w:ind w:left="1440" w:hanging="360"/>
      </w:pPr>
    </w:lvl>
    <w:lvl w:ilvl="2" w:tplc="E4DC7B4C" w:tentative="1">
      <w:start w:val="1"/>
      <w:numFmt w:val="lowerRoman"/>
      <w:lvlText w:val="%3."/>
      <w:lvlJc w:val="right"/>
      <w:pPr>
        <w:ind w:left="2160" w:hanging="180"/>
      </w:pPr>
    </w:lvl>
    <w:lvl w:ilvl="3" w:tplc="72046468" w:tentative="1">
      <w:start w:val="1"/>
      <w:numFmt w:val="decimal"/>
      <w:lvlText w:val="%4."/>
      <w:lvlJc w:val="left"/>
      <w:pPr>
        <w:ind w:left="2880" w:hanging="360"/>
      </w:pPr>
    </w:lvl>
    <w:lvl w:ilvl="4" w:tplc="84809CE2" w:tentative="1">
      <w:start w:val="1"/>
      <w:numFmt w:val="lowerLetter"/>
      <w:lvlText w:val="%5."/>
      <w:lvlJc w:val="left"/>
      <w:pPr>
        <w:ind w:left="3600" w:hanging="360"/>
      </w:pPr>
    </w:lvl>
    <w:lvl w:ilvl="5" w:tplc="F8708BAE" w:tentative="1">
      <w:start w:val="1"/>
      <w:numFmt w:val="lowerRoman"/>
      <w:lvlText w:val="%6."/>
      <w:lvlJc w:val="right"/>
      <w:pPr>
        <w:ind w:left="4320" w:hanging="180"/>
      </w:pPr>
    </w:lvl>
    <w:lvl w:ilvl="6" w:tplc="03504F7A" w:tentative="1">
      <w:start w:val="1"/>
      <w:numFmt w:val="decimal"/>
      <w:lvlText w:val="%7."/>
      <w:lvlJc w:val="left"/>
      <w:pPr>
        <w:ind w:left="5040" w:hanging="360"/>
      </w:pPr>
    </w:lvl>
    <w:lvl w:ilvl="7" w:tplc="6D002CC0" w:tentative="1">
      <w:start w:val="1"/>
      <w:numFmt w:val="lowerLetter"/>
      <w:lvlText w:val="%8."/>
      <w:lvlJc w:val="left"/>
      <w:pPr>
        <w:ind w:left="5760" w:hanging="360"/>
      </w:pPr>
    </w:lvl>
    <w:lvl w:ilvl="8" w:tplc="39E42D9E" w:tentative="1">
      <w:start w:val="1"/>
      <w:numFmt w:val="lowerRoman"/>
      <w:lvlText w:val="%9."/>
      <w:lvlJc w:val="right"/>
      <w:pPr>
        <w:ind w:left="6480" w:hanging="180"/>
      </w:pPr>
    </w:lvl>
  </w:abstractNum>
  <w:abstractNum w:abstractNumId="13" w15:restartNumberingAfterBreak="0">
    <w:nsid w:val="259211D6"/>
    <w:multiLevelType w:val="hybridMultilevel"/>
    <w:tmpl w:val="C03EA364"/>
    <w:lvl w:ilvl="0" w:tplc="BA805228">
      <w:start w:val="1"/>
      <w:numFmt w:val="lowerRoman"/>
      <w:lvlText w:val="(%1)"/>
      <w:lvlJc w:val="left"/>
      <w:pPr>
        <w:ind w:left="2160" w:hanging="720"/>
      </w:pPr>
      <w:rPr>
        <w:rFonts w:hint="default"/>
      </w:rPr>
    </w:lvl>
    <w:lvl w:ilvl="1" w:tplc="2C16A676" w:tentative="1">
      <w:start w:val="1"/>
      <w:numFmt w:val="lowerLetter"/>
      <w:lvlText w:val="%2."/>
      <w:lvlJc w:val="left"/>
      <w:pPr>
        <w:ind w:left="2520" w:hanging="360"/>
      </w:pPr>
    </w:lvl>
    <w:lvl w:ilvl="2" w:tplc="754076EE" w:tentative="1">
      <w:start w:val="1"/>
      <w:numFmt w:val="lowerRoman"/>
      <w:lvlText w:val="%3."/>
      <w:lvlJc w:val="right"/>
      <w:pPr>
        <w:ind w:left="3240" w:hanging="180"/>
      </w:pPr>
    </w:lvl>
    <w:lvl w:ilvl="3" w:tplc="13642D5E" w:tentative="1">
      <w:start w:val="1"/>
      <w:numFmt w:val="decimal"/>
      <w:lvlText w:val="%4."/>
      <w:lvlJc w:val="left"/>
      <w:pPr>
        <w:ind w:left="3960" w:hanging="360"/>
      </w:pPr>
    </w:lvl>
    <w:lvl w:ilvl="4" w:tplc="E32A737C" w:tentative="1">
      <w:start w:val="1"/>
      <w:numFmt w:val="lowerLetter"/>
      <w:lvlText w:val="%5."/>
      <w:lvlJc w:val="left"/>
      <w:pPr>
        <w:ind w:left="4680" w:hanging="360"/>
      </w:pPr>
    </w:lvl>
    <w:lvl w:ilvl="5" w:tplc="BEA8A688" w:tentative="1">
      <w:start w:val="1"/>
      <w:numFmt w:val="lowerRoman"/>
      <w:lvlText w:val="%6."/>
      <w:lvlJc w:val="right"/>
      <w:pPr>
        <w:ind w:left="5400" w:hanging="180"/>
      </w:pPr>
    </w:lvl>
    <w:lvl w:ilvl="6" w:tplc="445A8DB2" w:tentative="1">
      <w:start w:val="1"/>
      <w:numFmt w:val="decimal"/>
      <w:lvlText w:val="%7."/>
      <w:lvlJc w:val="left"/>
      <w:pPr>
        <w:ind w:left="6120" w:hanging="360"/>
      </w:pPr>
    </w:lvl>
    <w:lvl w:ilvl="7" w:tplc="612AF3BE" w:tentative="1">
      <w:start w:val="1"/>
      <w:numFmt w:val="lowerLetter"/>
      <w:lvlText w:val="%8."/>
      <w:lvlJc w:val="left"/>
      <w:pPr>
        <w:ind w:left="6840" w:hanging="360"/>
      </w:pPr>
    </w:lvl>
    <w:lvl w:ilvl="8" w:tplc="878A280E" w:tentative="1">
      <w:start w:val="1"/>
      <w:numFmt w:val="lowerRoman"/>
      <w:lvlText w:val="%9."/>
      <w:lvlJc w:val="right"/>
      <w:pPr>
        <w:ind w:left="7560" w:hanging="180"/>
      </w:pPr>
    </w:lvl>
  </w:abstractNum>
  <w:abstractNum w:abstractNumId="14" w15:restartNumberingAfterBreak="0">
    <w:nsid w:val="28812176"/>
    <w:multiLevelType w:val="hybridMultilevel"/>
    <w:tmpl w:val="C54A3054"/>
    <w:name w:val="UnnamedList82595"/>
    <w:lvl w:ilvl="0" w:tplc="1C8C6912">
      <w:start w:val="1"/>
      <w:numFmt w:val="decimal"/>
      <w:lvlText w:val="%1."/>
      <w:lvlJc w:val="left"/>
      <w:pPr>
        <w:ind w:left="720" w:hanging="360"/>
      </w:pPr>
      <w:rPr>
        <w:rFonts w:hint="default"/>
        <w:b w:val="0"/>
        <w:u w:val="none"/>
      </w:rPr>
    </w:lvl>
    <w:lvl w:ilvl="1" w:tplc="333CCC1C" w:tentative="1">
      <w:start w:val="1"/>
      <w:numFmt w:val="lowerLetter"/>
      <w:lvlText w:val="%2."/>
      <w:lvlJc w:val="left"/>
      <w:pPr>
        <w:ind w:left="1440" w:hanging="360"/>
      </w:pPr>
    </w:lvl>
    <w:lvl w:ilvl="2" w:tplc="D982128A" w:tentative="1">
      <w:start w:val="1"/>
      <w:numFmt w:val="lowerRoman"/>
      <w:lvlText w:val="%3."/>
      <w:lvlJc w:val="right"/>
      <w:pPr>
        <w:ind w:left="2160" w:hanging="180"/>
      </w:pPr>
    </w:lvl>
    <w:lvl w:ilvl="3" w:tplc="B9043D8C" w:tentative="1">
      <w:start w:val="1"/>
      <w:numFmt w:val="decimal"/>
      <w:lvlText w:val="%4."/>
      <w:lvlJc w:val="left"/>
      <w:pPr>
        <w:ind w:left="2880" w:hanging="360"/>
      </w:pPr>
    </w:lvl>
    <w:lvl w:ilvl="4" w:tplc="9B70B794" w:tentative="1">
      <w:start w:val="1"/>
      <w:numFmt w:val="lowerLetter"/>
      <w:lvlText w:val="%5."/>
      <w:lvlJc w:val="left"/>
      <w:pPr>
        <w:ind w:left="3600" w:hanging="360"/>
      </w:pPr>
    </w:lvl>
    <w:lvl w:ilvl="5" w:tplc="3856BFCA" w:tentative="1">
      <w:start w:val="1"/>
      <w:numFmt w:val="lowerRoman"/>
      <w:lvlText w:val="%6."/>
      <w:lvlJc w:val="right"/>
      <w:pPr>
        <w:ind w:left="4320" w:hanging="180"/>
      </w:pPr>
    </w:lvl>
    <w:lvl w:ilvl="6" w:tplc="2B2E09DE" w:tentative="1">
      <w:start w:val="1"/>
      <w:numFmt w:val="decimal"/>
      <w:lvlText w:val="%7."/>
      <w:lvlJc w:val="left"/>
      <w:pPr>
        <w:ind w:left="5040" w:hanging="360"/>
      </w:pPr>
    </w:lvl>
    <w:lvl w:ilvl="7" w:tplc="F6AA9274" w:tentative="1">
      <w:start w:val="1"/>
      <w:numFmt w:val="lowerLetter"/>
      <w:lvlText w:val="%8."/>
      <w:lvlJc w:val="left"/>
      <w:pPr>
        <w:ind w:left="5760" w:hanging="360"/>
      </w:pPr>
    </w:lvl>
    <w:lvl w:ilvl="8" w:tplc="0A800A70" w:tentative="1">
      <w:start w:val="1"/>
      <w:numFmt w:val="lowerRoman"/>
      <w:lvlText w:val="%9."/>
      <w:lvlJc w:val="right"/>
      <w:pPr>
        <w:ind w:left="6480" w:hanging="180"/>
      </w:pPr>
    </w:lvl>
  </w:abstractNum>
  <w:abstractNum w:abstractNumId="15" w15:restartNumberingAfterBreak="0">
    <w:nsid w:val="2ACB6C1D"/>
    <w:multiLevelType w:val="hybridMultilevel"/>
    <w:tmpl w:val="B6FECEFC"/>
    <w:lvl w:ilvl="0" w:tplc="E54A0614">
      <w:start w:val="1"/>
      <w:numFmt w:val="decimal"/>
      <w:lvlText w:val="%1."/>
      <w:lvlJc w:val="left"/>
      <w:pPr>
        <w:ind w:left="720" w:hanging="360"/>
      </w:pPr>
      <w:rPr>
        <w:rFonts w:hint="default"/>
      </w:rPr>
    </w:lvl>
    <w:lvl w:ilvl="1" w:tplc="AE0A5C7A">
      <w:start w:val="1"/>
      <w:numFmt w:val="lowerLetter"/>
      <w:lvlText w:val="%2."/>
      <w:lvlJc w:val="left"/>
      <w:pPr>
        <w:ind w:left="1440" w:hanging="360"/>
      </w:pPr>
    </w:lvl>
    <w:lvl w:ilvl="2" w:tplc="11D09694" w:tentative="1">
      <w:start w:val="1"/>
      <w:numFmt w:val="lowerRoman"/>
      <w:lvlText w:val="%3."/>
      <w:lvlJc w:val="right"/>
      <w:pPr>
        <w:ind w:left="2160" w:hanging="180"/>
      </w:pPr>
    </w:lvl>
    <w:lvl w:ilvl="3" w:tplc="226AAA6C" w:tentative="1">
      <w:start w:val="1"/>
      <w:numFmt w:val="decimal"/>
      <w:lvlText w:val="%4."/>
      <w:lvlJc w:val="left"/>
      <w:pPr>
        <w:ind w:left="2880" w:hanging="360"/>
      </w:pPr>
    </w:lvl>
    <w:lvl w:ilvl="4" w:tplc="65665326" w:tentative="1">
      <w:start w:val="1"/>
      <w:numFmt w:val="lowerLetter"/>
      <w:lvlText w:val="%5."/>
      <w:lvlJc w:val="left"/>
      <w:pPr>
        <w:ind w:left="3600" w:hanging="360"/>
      </w:pPr>
    </w:lvl>
    <w:lvl w:ilvl="5" w:tplc="537AE5A6" w:tentative="1">
      <w:start w:val="1"/>
      <w:numFmt w:val="lowerRoman"/>
      <w:lvlText w:val="%6."/>
      <w:lvlJc w:val="right"/>
      <w:pPr>
        <w:ind w:left="4320" w:hanging="180"/>
      </w:pPr>
    </w:lvl>
    <w:lvl w:ilvl="6" w:tplc="A5ECEACC" w:tentative="1">
      <w:start w:val="1"/>
      <w:numFmt w:val="decimal"/>
      <w:lvlText w:val="%7."/>
      <w:lvlJc w:val="left"/>
      <w:pPr>
        <w:ind w:left="5040" w:hanging="360"/>
      </w:pPr>
    </w:lvl>
    <w:lvl w:ilvl="7" w:tplc="1ED080CC" w:tentative="1">
      <w:start w:val="1"/>
      <w:numFmt w:val="lowerLetter"/>
      <w:lvlText w:val="%8."/>
      <w:lvlJc w:val="left"/>
      <w:pPr>
        <w:ind w:left="5760" w:hanging="360"/>
      </w:pPr>
    </w:lvl>
    <w:lvl w:ilvl="8" w:tplc="A06CCC46" w:tentative="1">
      <w:start w:val="1"/>
      <w:numFmt w:val="lowerRoman"/>
      <w:lvlText w:val="%9."/>
      <w:lvlJc w:val="right"/>
      <w:pPr>
        <w:ind w:left="6480" w:hanging="180"/>
      </w:pPr>
    </w:lvl>
  </w:abstractNum>
  <w:abstractNum w:abstractNumId="16" w15:restartNumberingAfterBreak="0">
    <w:nsid w:val="2E1B7AF7"/>
    <w:multiLevelType w:val="hybridMultilevel"/>
    <w:tmpl w:val="0D280054"/>
    <w:lvl w:ilvl="0" w:tplc="8D662854">
      <w:start w:val="1"/>
      <w:numFmt w:val="upperLetter"/>
      <w:lvlText w:val="(%1)"/>
      <w:lvlJc w:val="left"/>
      <w:pPr>
        <w:ind w:left="720" w:hanging="360"/>
      </w:pPr>
      <w:rPr>
        <w:rFonts w:hint="default"/>
        <w:b w:val="0"/>
      </w:rPr>
    </w:lvl>
    <w:lvl w:ilvl="1" w:tplc="A4D885F4" w:tentative="1">
      <w:start w:val="1"/>
      <w:numFmt w:val="lowerLetter"/>
      <w:lvlText w:val="%2."/>
      <w:lvlJc w:val="left"/>
      <w:pPr>
        <w:ind w:left="1440" w:hanging="360"/>
      </w:pPr>
    </w:lvl>
    <w:lvl w:ilvl="2" w:tplc="6F4ADEFE" w:tentative="1">
      <w:start w:val="1"/>
      <w:numFmt w:val="lowerRoman"/>
      <w:lvlText w:val="%3."/>
      <w:lvlJc w:val="right"/>
      <w:pPr>
        <w:ind w:left="2160" w:hanging="180"/>
      </w:pPr>
    </w:lvl>
    <w:lvl w:ilvl="3" w:tplc="5166341E" w:tentative="1">
      <w:start w:val="1"/>
      <w:numFmt w:val="decimal"/>
      <w:lvlText w:val="%4."/>
      <w:lvlJc w:val="left"/>
      <w:pPr>
        <w:ind w:left="2880" w:hanging="360"/>
      </w:pPr>
    </w:lvl>
    <w:lvl w:ilvl="4" w:tplc="C12AF02A" w:tentative="1">
      <w:start w:val="1"/>
      <w:numFmt w:val="lowerLetter"/>
      <w:lvlText w:val="%5."/>
      <w:lvlJc w:val="left"/>
      <w:pPr>
        <w:ind w:left="3600" w:hanging="360"/>
      </w:pPr>
    </w:lvl>
    <w:lvl w:ilvl="5" w:tplc="28B4CD0E" w:tentative="1">
      <w:start w:val="1"/>
      <w:numFmt w:val="lowerRoman"/>
      <w:lvlText w:val="%6."/>
      <w:lvlJc w:val="right"/>
      <w:pPr>
        <w:ind w:left="4320" w:hanging="180"/>
      </w:pPr>
    </w:lvl>
    <w:lvl w:ilvl="6" w:tplc="4A785B6C" w:tentative="1">
      <w:start w:val="1"/>
      <w:numFmt w:val="decimal"/>
      <w:lvlText w:val="%7."/>
      <w:lvlJc w:val="left"/>
      <w:pPr>
        <w:ind w:left="5040" w:hanging="360"/>
      </w:pPr>
    </w:lvl>
    <w:lvl w:ilvl="7" w:tplc="BB66D9A6" w:tentative="1">
      <w:start w:val="1"/>
      <w:numFmt w:val="lowerLetter"/>
      <w:lvlText w:val="%8."/>
      <w:lvlJc w:val="left"/>
      <w:pPr>
        <w:ind w:left="5760" w:hanging="360"/>
      </w:pPr>
    </w:lvl>
    <w:lvl w:ilvl="8" w:tplc="31B4279A" w:tentative="1">
      <w:start w:val="1"/>
      <w:numFmt w:val="lowerRoman"/>
      <w:lvlText w:val="%9."/>
      <w:lvlJc w:val="right"/>
      <w:pPr>
        <w:ind w:left="6480" w:hanging="180"/>
      </w:pPr>
    </w:lvl>
  </w:abstractNum>
  <w:abstractNum w:abstractNumId="17" w15:restartNumberingAfterBreak="0">
    <w:nsid w:val="30CD6C26"/>
    <w:multiLevelType w:val="hybridMultilevel"/>
    <w:tmpl w:val="2CA2BF8A"/>
    <w:lvl w:ilvl="0" w:tplc="B93E380E">
      <w:start w:val="1"/>
      <w:numFmt w:val="lowerLetter"/>
      <w:lvlText w:val="(%1)"/>
      <w:lvlJc w:val="left"/>
      <w:pPr>
        <w:ind w:left="1080" w:hanging="360"/>
      </w:pPr>
      <w:rPr>
        <w:rFonts w:hint="default"/>
      </w:rPr>
    </w:lvl>
    <w:lvl w:ilvl="1" w:tplc="D8722466" w:tentative="1">
      <w:start w:val="1"/>
      <w:numFmt w:val="lowerLetter"/>
      <w:lvlText w:val="%2."/>
      <w:lvlJc w:val="left"/>
      <w:pPr>
        <w:ind w:left="1800" w:hanging="360"/>
      </w:pPr>
    </w:lvl>
    <w:lvl w:ilvl="2" w:tplc="D8CED7FE" w:tentative="1">
      <w:start w:val="1"/>
      <w:numFmt w:val="lowerRoman"/>
      <w:lvlText w:val="%3."/>
      <w:lvlJc w:val="right"/>
      <w:pPr>
        <w:ind w:left="2520" w:hanging="180"/>
      </w:pPr>
    </w:lvl>
    <w:lvl w:ilvl="3" w:tplc="BB9A8B42" w:tentative="1">
      <w:start w:val="1"/>
      <w:numFmt w:val="decimal"/>
      <w:lvlText w:val="%4."/>
      <w:lvlJc w:val="left"/>
      <w:pPr>
        <w:ind w:left="3240" w:hanging="360"/>
      </w:pPr>
    </w:lvl>
    <w:lvl w:ilvl="4" w:tplc="F87E94F6" w:tentative="1">
      <w:start w:val="1"/>
      <w:numFmt w:val="lowerLetter"/>
      <w:lvlText w:val="%5."/>
      <w:lvlJc w:val="left"/>
      <w:pPr>
        <w:ind w:left="3960" w:hanging="360"/>
      </w:pPr>
    </w:lvl>
    <w:lvl w:ilvl="5" w:tplc="1B365154" w:tentative="1">
      <w:start w:val="1"/>
      <w:numFmt w:val="lowerRoman"/>
      <w:lvlText w:val="%6."/>
      <w:lvlJc w:val="right"/>
      <w:pPr>
        <w:ind w:left="4680" w:hanging="180"/>
      </w:pPr>
    </w:lvl>
    <w:lvl w:ilvl="6" w:tplc="8C007474" w:tentative="1">
      <w:start w:val="1"/>
      <w:numFmt w:val="decimal"/>
      <w:lvlText w:val="%7."/>
      <w:lvlJc w:val="left"/>
      <w:pPr>
        <w:ind w:left="5400" w:hanging="360"/>
      </w:pPr>
    </w:lvl>
    <w:lvl w:ilvl="7" w:tplc="1E6A495C" w:tentative="1">
      <w:start w:val="1"/>
      <w:numFmt w:val="lowerLetter"/>
      <w:lvlText w:val="%8."/>
      <w:lvlJc w:val="left"/>
      <w:pPr>
        <w:ind w:left="6120" w:hanging="360"/>
      </w:pPr>
    </w:lvl>
    <w:lvl w:ilvl="8" w:tplc="9D6269DC" w:tentative="1">
      <w:start w:val="1"/>
      <w:numFmt w:val="lowerRoman"/>
      <w:lvlText w:val="%9."/>
      <w:lvlJc w:val="right"/>
      <w:pPr>
        <w:ind w:left="6840" w:hanging="180"/>
      </w:pPr>
    </w:lvl>
  </w:abstractNum>
  <w:abstractNum w:abstractNumId="18" w15:restartNumberingAfterBreak="0">
    <w:nsid w:val="30DE01AD"/>
    <w:multiLevelType w:val="hybridMultilevel"/>
    <w:tmpl w:val="0014438A"/>
    <w:name w:val="UnnamedList36533"/>
    <w:lvl w:ilvl="0" w:tplc="62EA22C2">
      <w:start w:val="1"/>
      <w:numFmt w:val="decimal"/>
      <w:lvlText w:val="%1."/>
      <w:lvlJc w:val="left"/>
      <w:pPr>
        <w:ind w:left="720" w:hanging="360"/>
      </w:pPr>
    </w:lvl>
    <w:lvl w:ilvl="1" w:tplc="BDB2E8E8">
      <w:start w:val="1"/>
      <w:numFmt w:val="lowerLetter"/>
      <w:lvlText w:val="%2."/>
      <w:lvlJc w:val="left"/>
      <w:pPr>
        <w:ind w:left="1440" w:hanging="360"/>
      </w:pPr>
      <w:rPr>
        <w:b w:val="0"/>
        <w:bCs/>
      </w:rPr>
    </w:lvl>
    <w:lvl w:ilvl="2" w:tplc="8C3EB3B4" w:tentative="1">
      <w:start w:val="1"/>
      <w:numFmt w:val="lowerRoman"/>
      <w:lvlText w:val="%3."/>
      <w:lvlJc w:val="right"/>
      <w:pPr>
        <w:ind w:left="2160" w:hanging="180"/>
      </w:pPr>
    </w:lvl>
    <w:lvl w:ilvl="3" w:tplc="9410D7E6" w:tentative="1">
      <w:start w:val="1"/>
      <w:numFmt w:val="decimal"/>
      <w:lvlText w:val="%4."/>
      <w:lvlJc w:val="left"/>
      <w:pPr>
        <w:ind w:left="2880" w:hanging="360"/>
      </w:pPr>
    </w:lvl>
    <w:lvl w:ilvl="4" w:tplc="2BD6FD84" w:tentative="1">
      <w:start w:val="1"/>
      <w:numFmt w:val="lowerLetter"/>
      <w:lvlText w:val="%5."/>
      <w:lvlJc w:val="left"/>
      <w:pPr>
        <w:ind w:left="3600" w:hanging="360"/>
      </w:pPr>
    </w:lvl>
    <w:lvl w:ilvl="5" w:tplc="7DF80CAC" w:tentative="1">
      <w:start w:val="1"/>
      <w:numFmt w:val="lowerRoman"/>
      <w:lvlText w:val="%6."/>
      <w:lvlJc w:val="right"/>
      <w:pPr>
        <w:ind w:left="4320" w:hanging="180"/>
      </w:pPr>
    </w:lvl>
    <w:lvl w:ilvl="6" w:tplc="658C26FC" w:tentative="1">
      <w:start w:val="1"/>
      <w:numFmt w:val="decimal"/>
      <w:lvlText w:val="%7."/>
      <w:lvlJc w:val="left"/>
      <w:pPr>
        <w:ind w:left="5040" w:hanging="360"/>
      </w:pPr>
    </w:lvl>
    <w:lvl w:ilvl="7" w:tplc="DB8079AA" w:tentative="1">
      <w:start w:val="1"/>
      <w:numFmt w:val="lowerLetter"/>
      <w:lvlText w:val="%8."/>
      <w:lvlJc w:val="left"/>
      <w:pPr>
        <w:ind w:left="5760" w:hanging="360"/>
      </w:pPr>
    </w:lvl>
    <w:lvl w:ilvl="8" w:tplc="024A4E76" w:tentative="1">
      <w:start w:val="1"/>
      <w:numFmt w:val="lowerRoman"/>
      <w:lvlText w:val="%9."/>
      <w:lvlJc w:val="right"/>
      <w:pPr>
        <w:ind w:left="6480" w:hanging="180"/>
      </w:pPr>
    </w:lvl>
  </w:abstractNum>
  <w:abstractNum w:abstractNumId="19" w15:restartNumberingAfterBreak="0">
    <w:nsid w:val="3D0109DD"/>
    <w:multiLevelType w:val="hybridMultilevel"/>
    <w:tmpl w:val="0014438A"/>
    <w:name w:val="UnnamedList8605"/>
    <w:lvl w:ilvl="0" w:tplc="F0E64738">
      <w:start w:val="1"/>
      <w:numFmt w:val="decimal"/>
      <w:lvlText w:val="%1."/>
      <w:lvlJc w:val="left"/>
      <w:pPr>
        <w:ind w:left="720" w:hanging="360"/>
      </w:pPr>
    </w:lvl>
    <w:lvl w:ilvl="1" w:tplc="A6A6A752">
      <w:start w:val="1"/>
      <w:numFmt w:val="lowerLetter"/>
      <w:lvlText w:val="%2."/>
      <w:lvlJc w:val="left"/>
      <w:pPr>
        <w:ind w:left="1440" w:hanging="360"/>
      </w:pPr>
      <w:rPr>
        <w:b w:val="0"/>
        <w:bCs/>
      </w:rPr>
    </w:lvl>
    <w:lvl w:ilvl="2" w:tplc="9A2C134A" w:tentative="1">
      <w:start w:val="1"/>
      <w:numFmt w:val="lowerRoman"/>
      <w:lvlText w:val="%3."/>
      <w:lvlJc w:val="right"/>
      <w:pPr>
        <w:ind w:left="2160" w:hanging="180"/>
      </w:pPr>
    </w:lvl>
    <w:lvl w:ilvl="3" w:tplc="7A162578" w:tentative="1">
      <w:start w:val="1"/>
      <w:numFmt w:val="decimal"/>
      <w:lvlText w:val="%4."/>
      <w:lvlJc w:val="left"/>
      <w:pPr>
        <w:ind w:left="2880" w:hanging="360"/>
      </w:pPr>
    </w:lvl>
    <w:lvl w:ilvl="4" w:tplc="C3647F30" w:tentative="1">
      <w:start w:val="1"/>
      <w:numFmt w:val="lowerLetter"/>
      <w:lvlText w:val="%5."/>
      <w:lvlJc w:val="left"/>
      <w:pPr>
        <w:ind w:left="3600" w:hanging="360"/>
      </w:pPr>
    </w:lvl>
    <w:lvl w:ilvl="5" w:tplc="F7BA4BBC" w:tentative="1">
      <w:start w:val="1"/>
      <w:numFmt w:val="lowerRoman"/>
      <w:lvlText w:val="%6."/>
      <w:lvlJc w:val="right"/>
      <w:pPr>
        <w:ind w:left="4320" w:hanging="180"/>
      </w:pPr>
    </w:lvl>
    <w:lvl w:ilvl="6" w:tplc="E15E7646" w:tentative="1">
      <w:start w:val="1"/>
      <w:numFmt w:val="decimal"/>
      <w:lvlText w:val="%7."/>
      <w:lvlJc w:val="left"/>
      <w:pPr>
        <w:ind w:left="5040" w:hanging="360"/>
      </w:pPr>
    </w:lvl>
    <w:lvl w:ilvl="7" w:tplc="C80AE3CA" w:tentative="1">
      <w:start w:val="1"/>
      <w:numFmt w:val="lowerLetter"/>
      <w:lvlText w:val="%8."/>
      <w:lvlJc w:val="left"/>
      <w:pPr>
        <w:ind w:left="5760" w:hanging="360"/>
      </w:pPr>
    </w:lvl>
    <w:lvl w:ilvl="8" w:tplc="7EB453D8" w:tentative="1">
      <w:start w:val="1"/>
      <w:numFmt w:val="lowerRoman"/>
      <w:lvlText w:val="%9."/>
      <w:lvlJc w:val="right"/>
      <w:pPr>
        <w:ind w:left="6480" w:hanging="180"/>
      </w:pPr>
    </w:lvl>
  </w:abstractNum>
  <w:abstractNum w:abstractNumId="20" w15:restartNumberingAfterBreak="0">
    <w:nsid w:val="3EE87FBB"/>
    <w:multiLevelType w:val="hybridMultilevel"/>
    <w:tmpl w:val="4F4EBF40"/>
    <w:lvl w:ilvl="0" w:tplc="E364F62E">
      <w:start w:val="1"/>
      <w:numFmt w:val="lowerLetter"/>
      <w:lvlText w:val="(%1)"/>
      <w:lvlJc w:val="left"/>
      <w:pPr>
        <w:ind w:left="2250" w:hanging="360"/>
      </w:pPr>
      <w:rPr>
        <w:rFonts w:hint="default"/>
      </w:rPr>
    </w:lvl>
    <w:lvl w:ilvl="1" w:tplc="045A5A42" w:tentative="1">
      <w:start w:val="1"/>
      <w:numFmt w:val="lowerLetter"/>
      <w:lvlText w:val="%2."/>
      <w:lvlJc w:val="left"/>
      <w:pPr>
        <w:ind w:left="2970" w:hanging="360"/>
      </w:pPr>
    </w:lvl>
    <w:lvl w:ilvl="2" w:tplc="15329576" w:tentative="1">
      <w:start w:val="1"/>
      <w:numFmt w:val="lowerRoman"/>
      <w:lvlText w:val="%3."/>
      <w:lvlJc w:val="right"/>
      <w:pPr>
        <w:ind w:left="3690" w:hanging="180"/>
      </w:pPr>
    </w:lvl>
    <w:lvl w:ilvl="3" w:tplc="6930EC9A" w:tentative="1">
      <w:start w:val="1"/>
      <w:numFmt w:val="decimal"/>
      <w:lvlText w:val="%4."/>
      <w:lvlJc w:val="left"/>
      <w:pPr>
        <w:ind w:left="4410" w:hanging="360"/>
      </w:pPr>
    </w:lvl>
    <w:lvl w:ilvl="4" w:tplc="91001E72" w:tentative="1">
      <w:start w:val="1"/>
      <w:numFmt w:val="lowerLetter"/>
      <w:lvlText w:val="%5."/>
      <w:lvlJc w:val="left"/>
      <w:pPr>
        <w:ind w:left="5130" w:hanging="360"/>
      </w:pPr>
    </w:lvl>
    <w:lvl w:ilvl="5" w:tplc="7C58C03E" w:tentative="1">
      <w:start w:val="1"/>
      <w:numFmt w:val="lowerRoman"/>
      <w:lvlText w:val="%6."/>
      <w:lvlJc w:val="right"/>
      <w:pPr>
        <w:ind w:left="5850" w:hanging="180"/>
      </w:pPr>
    </w:lvl>
    <w:lvl w:ilvl="6" w:tplc="BEE84A40" w:tentative="1">
      <w:start w:val="1"/>
      <w:numFmt w:val="decimal"/>
      <w:lvlText w:val="%7."/>
      <w:lvlJc w:val="left"/>
      <w:pPr>
        <w:ind w:left="6570" w:hanging="360"/>
      </w:pPr>
    </w:lvl>
    <w:lvl w:ilvl="7" w:tplc="02CE04A0" w:tentative="1">
      <w:start w:val="1"/>
      <w:numFmt w:val="lowerLetter"/>
      <w:lvlText w:val="%8."/>
      <w:lvlJc w:val="left"/>
      <w:pPr>
        <w:ind w:left="7290" w:hanging="360"/>
      </w:pPr>
    </w:lvl>
    <w:lvl w:ilvl="8" w:tplc="B36CCAC8" w:tentative="1">
      <w:start w:val="1"/>
      <w:numFmt w:val="lowerRoman"/>
      <w:lvlText w:val="%9."/>
      <w:lvlJc w:val="right"/>
      <w:pPr>
        <w:ind w:left="8010" w:hanging="180"/>
      </w:pPr>
    </w:lvl>
  </w:abstractNum>
  <w:abstractNum w:abstractNumId="21" w15:restartNumberingAfterBreak="0">
    <w:nsid w:val="5FA20C99"/>
    <w:multiLevelType w:val="hybridMultilevel"/>
    <w:tmpl w:val="1A48BD1E"/>
    <w:name w:val="UnnamedList95920"/>
    <w:lvl w:ilvl="0" w:tplc="A55645B2">
      <w:start w:val="1"/>
      <w:numFmt w:val="bullet"/>
      <w:lvlText w:val=""/>
      <w:lvlJc w:val="left"/>
      <w:pPr>
        <w:ind w:left="360" w:hanging="360"/>
      </w:pPr>
      <w:rPr>
        <w:rFonts w:ascii="Symbol" w:hAnsi="Symbol" w:hint="default"/>
      </w:rPr>
    </w:lvl>
    <w:lvl w:ilvl="1" w:tplc="46F6A648" w:tentative="1">
      <w:start w:val="1"/>
      <w:numFmt w:val="bullet"/>
      <w:lvlText w:val="o"/>
      <w:lvlJc w:val="left"/>
      <w:pPr>
        <w:ind w:left="1080" w:hanging="360"/>
      </w:pPr>
      <w:rPr>
        <w:rFonts w:ascii="Courier New" w:hAnsi="Courier New" w:cs="Courier New" w:hint="default"/>
      </w:rPr>
    </w:lvl>
    <w:lvl w:ilvl="2" w:tplc="941C7B06" w:tentative="1">
      <w:start w:val="1"/>
      <w:numFmt w:val="bullet"/>
      <w:lvlText w:val=""/>
      <w:lvlJc w:val="left"/>
      <w:pPr>
        <w:ind w:left="1800" w:hanging="360"/>
      </w:pPr>
      <w:rPr>
        <w:rFonts w:ascii="Wingdings" w:hAnsi="Wingdings" w:hint="default"/>
      </w:rPr>
    </w:lvl>
    <w:lvl w:ilvl="3" w:tplc="024C9DEC" w:tentative="1">
      <w:start w:val="1"/>
      <w:numFmt w:val="bullet"/>
      <w:lvlText w:val=""/>
      <w:lvlJc w:val="left"/>
      <w:pPr>
        <w:ind w:left="2520" w:hanging="360"/>
      </w:pPr>
      <w:rPr>
        <w:rFonts w:ascii="Symbol" w:hAnsi="Symbol" w:hint="default"/>
      </w:rPr>
    </w:lvl>
    <w:lvl w:ilvl="4" w:tplc="FB86F6B0" w:tentative="1">
      <w:start w:val="1"/>
      <w:numFmt w:val="bullet"/>
      <w:lvlText w:val="o"/>
      <w:lvlJc w:val="left"/>
      <w:pPr>
        <w:ind w:left="3240" w:hanging="360"/>
      </w:pPr>
      <w:rPr>
        <w:rFonts w:ascii="Courier New" w:hAnsi="Courier New" w:cs="Courier New" w:hint="default"/>
      </w:rPr>
    </w:lvl>
    <w:lvl w:ilvl="5" w:tplc="5694FCA4" w:tentative="1">
      <w:start w:val="1"/>
      <w:numFmt w:val="bullet"/>
      <w:lvlText w:val=""/>
      <w:lvlJc w:val="left"/>
      <w:pPr>
        <w:ind w:left="3960" w:hanging="360"/>
      </w:pPr>
      <w:rPr>
        <w:rFonts w:ascii="Wingdings" w:hAnsi="Wingdings" w:hint="default"/>
      </w:rPr>
    </w:lvl>
    <w:lvl w:ilvl="6" w:tplc="A976B47C" w:tentative="1">
      <w:start w:val="1"/>
      <w:numFmt w:val="bullet"/>
      <w:lvlText w:val=""/>
      <w:lvlJc w:val="left"/>
      <w:pPr>
        <w:ind w:left="4680" w:hanging="360"/>
      </w:pPr>
      <w:rPr>
        <w:rFonts w:ascii="Symbol" w:hAnsi="Symbol" w:hint="default"/>
      </w:rPr>
    </w:lvl>
    <w:lvl w:ilvl="7" w:tplc="90766AF2" w:tentative="1">
      <w:start w:val="1"/>
      <w:numFmt w:val="bullet"/>
      <w:lvlText w:val="o"/>
      <w:lvlJc w:val="left"/>
      <w:pPr>
        <w:ind w:left="5400" w:hanging="360"/>
      </w:pPr>
      <w:rPr>
        <w:rFonts w:ascii="Courier New" w:hAnsi="Courier New" w:cs="Courier New" w:hint="default"/>
      </w:rPr>
    </w:lvl>
    <w:lvl w:ilvl="8" w:tplc="245C645A" w:tentative="1">
      <w:start w:val="1"/>
      <w:numFmt w:val="bullet"/>
      <w:lvlText w:val=""/>
      <w:lvlJc w:val="left"/>
      <w:pPr>
        <w:ind w:left="6120" w:hanging="360"/>
      </w:pPr>
      <w:rPr>
        <w:rFonts w:ascii="Wingdings" w:hAnsi="Wingdings" w:hint="default"/>
      </w:rPr>
    </w:lvl>
  </w:abstractNum>
  <w:abstractNum w:abstractNumId="22" w15:restartNumberingAfterBreak="0">
    <w:nsid w:val="62326DFC"/>
    <w:multiLevelType w:val="hybridMultilevel"/>
    <w:tmpl w:val="1A848B88"/>
    <w:lvl w:ilvl="0" w:tplc="7EE8231C">
      <w:start w:val="1"/>
      <w:numFmt w:val="upperLetter"/>
      <w:lvlText w:val="(%1)"/>
      <w:lvlJc w:val="left"/>
      <w:pPr>
        <w:ind w:left="720" w:hanging="360"/>
      </w:pPr>
      <w:rPr>
        <w:rFonts w:hint="default"/>
      </w:rPr>
    </w:lvl>
    <w:lvl w:ilvl="1" w:tplc="5F2EEC3E" w:tentative="1">
      <w:start w:val="1"/>
      <w:numFmt w:val="lowerLetter"/>
      <w:lvlText w:val="%2."/>
      <w:lvlJc w:val="left"/>
      <w:pPr>
        <w:ind w:left="1440" w:hanging="360"/>
      </w:pPr>
    </w:lvl>
    <w:lvl w:ilvl="2" w:tplc="8F9CFB3C" w:tentative="1">
      <w:start w:val="1"/>
      <w:numFmt w:val="lowerRoman"/>
      <w:lvlText w:val="%3."/>
      <w:lvlJc w:val="right"/>
      <w:pPr>
        <w:ind w:left="2160" w:hanging="180"/>
      </w:pPr>
    </w:lvl>
    <w:lvl w:ilvl="3" w:tplc="BC2C8B34" w:tentative="1">
      <w:start w:val="1"/>
      <w:numFmt w:val="decimal"/>
      <w:lvlText w:val="%4."/>
      <w:lvlJc w:val="left"/>
      <w:pPr>
        <w:ind w:left="2880" w:hanging="360"/>
      </w:pPr>
    </w:lvl>
    <w:lvl w:ilvl="4" w:tplc="DF84896E" w:tentative="1">
      <w:start w:val="1"/>
      <w:numFmt w:val="lowerLetter"/>
      <w:lvlText w:val="%5."/>
      <w:lvlJc w:val="left"/>
      <w:pPr>
        <w:ind w:left="3600" w:hanging="360"/>
      </w:pPr>
    </w:lvl>
    <w:lvl w:ilvl="5" w:tplc="E4669A72" w:tentative="1">
      <w:start w:val="1"/>
      <w:numFmt w:val="lowerRoman"/>
      <w:lvlText w:val="%6."/>
      <w:lvlJc w:val="right"/>
      <w:pPr>
        <w:ind w:left="4320" w:hanging="180"/>
      </w:pPr>
    </w:lvl>
    <w:lvl w:ilvl="6" w:tplc="86C000C8" w:tentative="1">
      <w:start w:val="1"/>
      <w:numFmt w:val="decimal"/>
      <w:lvlText w:val="%7."/>
      <w:lvlJc w:val="left"/>
      <w:pPr>
        <w:ind w:left="5040" w:hanging="360"/>
      </w:pPr>
    </w:lvl>
    <w:lvl w:ilvl="7" w:tplc="3C5ABACC" w:tentative="1">
      <w:start w:val="1"/>
      <w:numFmt w:val="lowerLetter"/>
      <w:lvlText w:val="%8."/>
      <w:lvlJc w:val="left"/>
      <w:pPr>
        <w:ind w:left="5760" w:hanging="360"/>
      </w:pPr>
    </w:lvl>
    <w:lvl w:ilvl="8" w:tplc="962469DE" w:tentative="1">
      <w:start w:val="1"/>
      <w:numFmt w:val="lowerRoman"/>
      <w:lvlText w:val="%9."/>
      <w:lvlJc w:val="right"/>
      <w:pPr>
        <w:ind w:left="6480" w:hanging="180"/>
      </w:pPr>
    </w:lvl>
  </w:abstractNum>
  <w:abstractNum w:abstractNumId="23" w15:restartNumberingAfterBreak="0">
    <w:nsid w:val="6E754C99"/>
    <w:multiLevelType w:val="hybridMultilevel"/>
    <w:tmpl w:val="BC7EC942"/>
    <w:lvl w:ilvl="0" w:tplc="11984DA6">
      <w:start w:val="1"/>
      <w:numFmt w:val="upperLetter"/>
      <w:lvlText w:val="(%1)"/>
      <w:lvlJc w:val="left"/>
      <w:pPr>
        <w:ind w:left="1080" w:hanging="360"/>
      </w:pPr>
      <w:rPr>
        <w:rFonts w:hint="default"/>
        <w:i w:val="0"/>
      </w:rPr>
    </w:lvl>
    <w:lvl w:ilvl="1" w:tplc="65F27510" w:tentative="1">
      <w:start w:val="1"/>
      <w:numFmt w:val="lowerLetter"/>
      <w:lvlText w:val="%2."/>
      <w:lvlJc w:val="left"/>
      <w:pPr>
        <w:ind w:left="1800" w:hanging="360"/>
      </w:pPr>
    </w:lvl>
    <w:lvl w:ilvl="2" w:tplc="677A3272" w:tentative="1">
      <w:start w:val="1"/>
      <w:numFmt w:val="lowerRoman"/>
      <w:lvlText w:val="%3."/>
      <w:lvlJc w:val="right"/>
      <w:pPr>
        <w:ind w:left="2520" w:hanging="180"/>
      </w:pPr>
    </w:lvl>
    <w:lvl w:ilvl="3" w:tplc="AAE4856C" w:tentative="1">
      <w:start w:val="1"/>
      <w:numFmt w:val="decimal"/>
      <w:lvlText w:val="%4."/>
      <w:lvlJc w:val="left"/>
      <w:pPr>
        <w:ind w:left="3240" w:hanging="360"/>
      </w:pPr>
    </w:lvl>
    <w:lvl w:ilvl="4" w:tplc="F192FCEC" w:tentative="1">
      <w:start w:val="1"/>
      <w:numFmt w:val="lowerLetter"/>
      <w:lvlText w:val="%5."/>
      <w:lvlJc w:val="left"/>
      <w:pPr>
        <w:ind w:left="3960" w:hanging="360"/>
      </w:pPr>
    </w:lvl>
    <w:lvl w:ilvl="5" w:tplc="7F484A04" w:tentative="1">
      <w:start w:val="1"/>
      <w:numFmt w:val="lowerRoman"/>
      <w:lvlText w:val="%6."/>
      <w:lvlJc w:val="right"/>
      <w:pPr>
        <w:ind w:left="4680" w:hanging="180"/>
      </w:pPr>
    </w:lvl>
    <w:lvl w:ilvl="6" w:tplc="FEC2FED4" w:tentative="1">
      <w:start w:val="1"/>
      <w:numFmt w:val="decimal"/>
      <w:lvlText w:val="%7."/>
      <w:lvlJc w:val="left"/>
      <w:pPr>
        <w:ind w:left="5400" w:hanging="360"/>
      </w:pPr>
    </w:lvl>
    <w:lvl w:ilvl="7" w:tplc="C1C2E1BE" w:tentative="1">
      <w:start w:val="1"/>
      <w:numFmt w:val="lowerLetter"/>
      <w:lvlText w:val="%8."/>
      <w:lvlJc w:val="left"/>
      <w:pPr>
        <w:ind w:left="6120" w:hanging="360"/>
      </w:pPr>
    </w:lvl>
    <w:lvl w:ilvl="8" w:tplc="BF0E258C" w:tentative="1">
      <w:start w:val="1"/>
      <w:numFmt w:val="lowerRoman"/>
      <w:lvlText w:val="%9."/>
      <w:lvlJc w:val="right"/>
      <w:pPr>
        <w:ind w:left="6840" w:hanging="180"/>
      </w:pPr>
    </w:lvl>
  </w:abstractNum>
  <w:abstractNum w:abstractNumId="24" w15:restartNumberingAfterBreak="0">
    <w:nsid w:val="7A28334A"/>
    <w:multiLevelType w:val="hybridMultilevel"/>
    <w:tmpl w:val="0014438A"/>
    <w:lvl w:ilvl="0" w:tplc="53346ED4">
      <w:start w:val="1"/>
      <w:numFmt w:val="decimal"/>
      <w:lvlText w:val="%1."/>
      <w:lvlJc w:val="left"/>
      <w:pPr>
        <w:ind w:left="720" w:hanging="360"/>
      </w:pPr>
    </w:lvl>
    <w:lvl w:ilvl="1" w:tplc="57C48CAE">
      <w:start w:val="1"/>
      <w:numFmt w:val="lowerLetter"/>
      <w:lvlText w:val="%2."/>
      <w:lvlJc w:val="left"/>
      <w:pPr>
        <w:ind w:left="1440" w:hanging="360"/>
      </w:pPr>
      <w:rPr>
        <w:b w:val="0"/>
        <w:bCs/>
      </w:rPr>
    </w:lvl>
    <w:lvl w:ilvl="2" w:tplc="633EDB6E" w:tentative="1">
      <w:start w:val="1"/>
      <w:numFmt w:val="lowerRoman"/>
      <w:lvlText w:val="%3."/>
      <w:lvlJc w:val="right"/>
      <w:pPr>
        <w:ind w:left="2160" w:hanging="180"/>
      </w:pPr>
    </w:lvl>
    <w:lvl w:ilvl="3" w:tplc="A316F7CE" w:tentative="1">
      <w:start w:val="1"/>
      <w:numFmt w:val="decimal"/>
      <w:lvlText w:val="%4."/>
      <w:lvlJc w:val="left"/>
      <w:pPr>
        <w:ind w:left="2880" w:hanging="360"/>
      </w:pPr>
    </w:lvl>
    <w:lvl w:ilvl="4" w:tplc="574C5B54" w:tentative="1">
      <w:start w:val="1"/>
      <w:numFmt w:val="lowerLetter"/>
      <w:lvlText w:val="%5."/>
      <w:lvlJc w:val="left"/>
      <w:pPr>
        <w:ind w:left="3600" w:hanging="360"/>
      </w:pPr>
    </w:lvl>
    <w:lvl w:ilvl="5" w:tplc="3D6A805C" w:tentative="1">
      <w:start w:val="1"/>
      <w:numFmt w:val="lowerRoman"/>
      <w:lvlText w:val="%6."/>
      <w:lvlJc w:val="right"/>
      <w:pPr>
        <w:ind w:left="4320" w:hanging="180"/>
      </w:pPr>
    </w:lvl>
    <w:lvl w:ilvl="6" w:tplc="BE30A7BE" w:tentative="1">
      <w:start w:val="1"/>
      <w:numFmt w:val="decimal"/>
      <w:lvlText w:val="%7."/>
      <w:lvlJc w:val="left"/>
      <w:pPr>
        <w:ind w:left="5040" w:hanging="360"/>
      </w:pPr>
    </w:lvl>
    <w:lvl w:ilvl="7" w:tplc="CAE65588" w:tentative="1">
      <w:start w:val="1"/>
      <w:numFmt w:val="lowerLetter"/>
      <w:lvlText w:val="%8."/>
      <w:lvlJc w:val="left"/>
      <w:pPr>
        <w:ind w:left="5760" w:hanging="360"/>
      </w:pPr>
    </w:lvl>
    <w:lvl w:ilvl="8" w:tplc="99000AC2" w:tentative="1">
      <w:start w:val="1"/>
      <w:numFmt w:val="lowerRoman"/>
      <w:lvlText w:val="%9."/>
      <w:lvlJc w:val="right"/>
      <w:pPr>
        <w:ind w:left="6480" w:hanging="180"/>
      </w:pPr>
    </w:lvl>
  </w:abstractNum>
  <w:abstractNum w:abstractNumId="25" w15:restartNumberingAfterBreak="0">
    <w:nsid w:val="7D975459"/>
    <w:multiLevelType w:val="hybridMultilevel"/>
    <w:tmpl w:val="9C2CA99C"/>
    <w:lvl w:ilvl="0" w:tplc="42CE6BB6">
      <w:start w:val="1"/>
      <w:numFmt w:val="upperLetter"/>
      <w:lvlText w:val="(%1)"/>
      <w:lvlJc w:val="left"/>
      <w:pPr>
        <w:ind w:left="720" w:hanging="360"/>
      </w:pPr>
      <w:rPr>
        <w:rFonts w:hint="default"/>
        <w:i w:val="0"/>
        <w:sz w:val="24"/>
        <w:szCs w:val="24"/>
      </w:rPr>
    </w:lvl>
    <w:lvl w:ilvl="1" w:tplc="C47439A6" w:tentative="1">
      <w:start w:val="1"/>
      <w:numFmt w:val="lowerLetter"/>
      <w:lvlText w:val="%2."/>
      <w:lvlJc w:val="left"/>
      <w:pPr>
        <w:ind w:left="1440" w:hanging="360"/>
      </w:pPr>
    </w:lvl>
    <w:lvl w:ilvl="2" w:tplc="F15CDCBC" w:tentative="1">
      <w:start w:val="1"/>
      <w:numFmt w:val="lowerRoman"/>
      <w:lvlText w:val="%3."/>
      <w:lvlJc w:val="right"/>
      <w:pPr>
        <w:ind w:left="2160" w:hanging="180"/>
      </w:pPr>
    </w:lvl>
    <w:lvl w:ilvl="3" w:tplc="A866BA80" w:tentative="1">
      <w:start w:val="1"/>
      <w:numFmt w:val="decimal"/>
      <w:lvlText w:val="%4."/>
      <w:lvlJc w:val="left"/>
      <w:pPr>
        <w:ind w:left="2880" w:hanging="360"/>
      </w:pPr>
    </w:lvl>
    <w:lvl w:ilvl="4" w:tplc="42B48274" w:tentative="1">
      <w:start w:val="1"/>
      <w:numFmt w:val="lowerLetter"/>
      <w:lvlText w:val="%5."/>
      <w:lvlJc w:val="left"/>
      <w:pPr>
        <w:ind w:left="3600" w:hanging="360"/>
      </w:pPr>
    </w:lvl>
    <w:lvl w:ilvl="5" w:tplc="10DC27E0" w:tentative="1">
      <w:start w:val="1"/>
      <w:numFmt w:val="lowerRoman"/>
      <w:lvlText w:val="%6."/>
      <w:lvlJc w:val="right"/>
      <w:pPr>
        <w:ind w:left="4320" w:hanging="180"/>
      </w:pPr>
    </w:lvl>
    <w:lvl w:ilvl="6" w:tplc="27B6BB0A" w:tentative="1">
      <w:start w:val="1"/>
      <w:numFmt w:val="decimal"/>
      <w:lvlText w:val="%7."/>
      <w:lvlJc w:val="left"/>
      <w:pPr>
        <w:ind w:left="5040" w:hanging="360"/>
      </w:pPr>
    </w:lvl>
    <w:lvl w:ilvl="7" w:tplc="E6B2BFB0" w:tentative="1">
      <w:start w:val="1"/>
      <w:numFmt w:val="lowerLetter"/>
      <w:lvlText w:val="%8."/>
      <w:lvlJc w:val="left"/>
      <w:pPr>
        <w:ind w:left="5760" w:hanging="360"/>
      </w:pPr>
    </w:lvl>
    <w:lvl w:ilvl="8" w:tplc="76622692" w:tentative="1">
      <w:start w:val="1"/>
      <w:numFmt w:val="lowerRoman"/>
      <w:lvlText w:val="%9."/>
      <w:lvlJc w:val="right"/>
      <w:pPr>
        <w:ind w:left="6480" w:hanging="180"/>
      </w:pPr>
    </w:lvl>
  </w:abstractNum>
  <w:abstractNum w:abstractNumId="26" w15:restartNumberingAfterBreak="0">
    <w:nsid w:val="7F2F7229"/>
    <w:multiLevelType w:val="multilevel"/>
    <w:tmpl w:val="5B321C5E"/>
    <w:lvl w:ilvl="0">
      <w:start w:val="1"/>
      <w:numFmt w:val="decimal"/>
      <w:pStyle w:val="Outline1"/>
      <w:lvlText w:val="%1."/>
      <w:lvlJc w:val="left"/>
      <w:pPr>
        <w:tabs>
          <w:tab w:val="num" w:pos="720"/>
        </w:tabs>
        <w:ind w:left="720" w:hanging="720"/>
      </w:pPr>
      <w:rPr>
        <w:rFonts w:hint="default"/>
      </w:rPr>
    </w:lvl>
    <w:lvl w:ilvl="1">
      <w:start w:val="1"/>
      <w:numFmt w:val="lowerLetter"/>
      <w:pStyle w:val="Outline2"/>
      <w:lvlText w:val="(%2)"/>
      <w:lvlJc w:val="left"/>
      <w:pPr>
        <w:tabs>
          <w:tab w:val="num" w:pos="1440"/>
        </w:tabs>
        <w:ind w:left="1440" w:hanging="720"/>
      </w:pPr>
      <w:rPr>
        <w:rFonts w:hint="default"/>
      </w:rPr>
    </w:lvl>
    <w:lvl w:ilvl="2">
      <w:start w:val="1"/>
      <w:numFmt w:val="lowerRoman"/>
      <w:pStyle w:val="Outline3"/>
      <w:lvlText w:val="(%3)"/>
      <w:lvlJc w:val="left"/>
      <w:pPr>
        <w:tabs>
          <w:tab w:val="num" w:pos="2160"/>
        </w:tabs>
        <w:ind w:left="2160" w:hanging="720"/>
      </w:pPr>
      <w:rPr>
        <w:rFonts w:hint="default"/>
      </w:rPr>
    </w:lvl>
    <w:lvl w:ilvl="3">
      <w:start w:val="1"/>
      <w:numFmt w:val="upperLetter"/>
      <w:pStyle w:val="Outline4"/>
      <w:lvlText w:val="(%4)"/>
      <w:lvlJc w:val="left"/>
      <w:pPr>
        <w:tabs>
          <w:tab w:val="num" w:pos="2880"/>
        </w:tabs>
        <w:ind w:left="2880" w:hanging="720"/>
      </w:pPr>
      <w:rPr>
        <w:rFonts w:hint="default"/>
      </w:rPr>
    </w:lvl>
    <w:lvl w:ilvl="4">
      <w:start w:val="1"/>
      <w:numFmt w:val="upperRoman"/>
      <w:pStyle w:val="Outline5"/>
      <w:lvlText w:val="(%5)"/>
      <w:lvlJc w:val="left"/>
      <w:pPr>
        <w:tabs>
          <w:tab w:val="num" w:pos="3600"/>
        </w:tabs>
        <w:ind w:left="3600" w:hanging="720"/>
      </w:pPr>
      <w:rPr>
        <w:rFonts w:hint="default"/>
      </w:rPr>
    </w:lvl>
    <w:lvl w:ilvl="5">
      <w:start w:val="1"/>
      <w:numFmt w:val="decimal"/>
      <w:pStyle w:val="Outline6"/>
      <w:lvlText w:val="(%6)"/>
      <w:lvlJc w:val="left"/>
      <w:pPr>
        <w:tabs>
          <w:tab w:val="num" w:pos="4320"/>
        </w:tabs>
        <w:ind w:left="4320" w:hanging="720"/>
      </w:pPr>
      <w:rPr>
        <w:rFonts w:hint="default"/>
      </w:rPr>
    </w:lvl>
    <w:lvl w:ilvl="6">
      <w:start w:val="1"/>
      <w:numFmt w:val="lowerRoman"/>
      <w:pStyle w:val="Lnum1"/>
      <w:lvlText w:val="(%7)"/>
      <w:lvlJc w:val="left"/>
      <w:pPr>
        <w:tabs>
          <w:tab w:val="num" w:pos="5040"/>
        </w:tabs>
        <w:ind w:left="5040" w:hanging="720"/>
      </w:pPr>
      <w:rPr>
        <w:rFonts w:hint="default"/>
      </w:rPr>
    </w:lvl>
    <w:lvl w:ilvl="7">
      <w:start w:val="1"/>
      <w:numFmt w:val="upperLetter"/>
      <w:pStyle w:val="Lnum2"/>
      <w:lvlText w:val="(%8)"/>
      <w:lvlJc w:val="left"/>
      <w:pPr>
        <w:tabs>
          <w:tab w:val="num" w:pos="5760"/>
        </w:tabs>
        <w:ind w:left="5760" w:hanging="720"/>
      </w:pPr>
      <w:rPr>
        <w:rFonts w:hint="default"/>
      </w:rPr>
    </w:lvl>
    <w:lvl w:ilvl="8">
      <w:start w:val="1"/>
      <w:numFmt w:val="upperRoman"/>
      <w:pStyle w:val="Lnum3"/>
      <w:lvlText w:val="(%9)"/>
      <w:lvlJc w:val="left"/>
      <w:pPr>
        <w:tabs>
          <w:tab w:val="num" w:pos="6480"/>
        </w:tabs>
        <w:ind w:left="6480" w:hanging="720"/>
      </w:pPr>
      <w:rPr>
        <w:rFonts w:hint="default"/>
      </w:rPr>
    </w:lvl>
  </w:abstractNum>
  <w:num w:numId="1" w16cid:durableId="1756169015">
    <w:abstractNumId w:val="2"/>
  </w:num>
  <w:num w:numId="2" w16cid:durableId="735510719">
    <w:abstractNumId w:val="1"/>
  </w:num>
  <w:num w:numId="3" w16cid:durableId="1742017073">
    <w:abstractNumId w:val="26"/>
  </w:num>
  <w:num w:numId="4" w16cid:durableId="1920944771">
    <w:abstractNumId w:val="15"/>
  </w:num>
  <w:num w:numId="5" w16cid:durableId="322513620">
    <w:abstractNumId w:val="25"/>
  </w:num>
  <w:num w:numId="6" w16cid:durableId="1988703742">
    <w:abstractNumId w:val="16"/>
  </w:num>
  <w:num w:numId="7" w16cid:durableId="954294134">
    <w:abstractNumId w:val="17"/>
  </w:num>
  <w:num w:numId="8" w16cid:durableId="412360665">
    <w:abstractNumId w:val="22"/>
  </w:num>
  <w:num w:numId="9" w16cid:durableId="1780334">
    <w:abstractNumId w:val="4"/>
  </w:num>
  <w:num w:numId="10" w16cid:durableId="1663503061">
    <w:abstractNumId w:val="12"/>
  </w:num>
  <w:num w:numId="11" w16cid:durableId="604659344">
    <w:abstractNumId w:val="20"/>
  </w:num>
  <w:num w:numId="12" w16cid:durableId="651370173">
    <w:abstractNumId w:val="7"/>
  </w:num>
  <w:num w:numId="13" w16cid:durableId="1417290377">
    <w:abstractNumId w:val="11"/>
  </w:num>
  <w:num w:numId="14" w16cid:durableId="602608974">
    <w:abstractNumId w:val="23"/>
  </w:num>
  <w:num w:numId="15" w16cid:durableId="273489899">
    <w:abstractNumId w:val="0"/>
  </w:num>
  <w:num w:numId="16" w16cid:durableId="642975246">
    <w:abstractNumId w:val="6"/>
  </w:num>
  <w:num w:numId="17" w16cid:durableId="635650507">
    <w:abstractNumId w:val="3"/>
  </w:num>
  <w:num w:numId="18" w16cid:durableId="1011762178">
    <w:abstractNumId w:val="24"/>
  </w:num>
  <w:num w:numId="19" w16cid:durableId="1739937359">
    <w:abstractNumId w:val="18"/>
  </w:num>
  <w:num w:numId="20" w16cid:durableId="1123502911">
    <w:abstractNumId w:val="19"/>
  </w:num>
  <w:num w:numId="21" w16cid:durableId="1779717052">
    <w:abstractNumId w:val="10"/>
  </w:num>
  <w:num w:numId="22" w16cid:durableId="2040206525">
    <w:abstractNumId w:val="9"/>
  </w:num>
  <w:num w:numId="23" w16cid:durableId="1855723935">
    <w:abstractNumId w:val="5"/>
  </w:num>
  <w:num w:numId="24" w16cid:durableId="739133573">
    <w:abstractNumId w:val="14"/>
  </w:num>
  <w:num w:numId="25" w16cid:durableId="266856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4575053">
    <w:abstractNumId w:val="5"/>
  </w:num>
  <w:num w:numId="27" w16cid:durableId="1157651457">
    <w:abstractNumId w:val="21"/>
  </w:num>
  <w:num w:numId="28" w16cid:durableId="235362366">
    <w:abstractNumId w:val="8"/>
  </w:num>
  <w:num w:numId="29" w16cid:durableId="17808776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ageDocInfoCache(AuthorId)" w:val="DARYA"/>
    <w:docVar w:name="IManageDocInfoCache(ClientId)" w:val="212995"/>
    <w:docVar w:name="IManageDocInfoCache(DatabaseName)" w:val="LEGAL_1"/>
    <w:docVar w:name="IManageDocInfoCache(DocumentDescription)" w:val="ISDA - Annotated Canadian BCR Representation Letter (Osler Draft - Jan 29, 2025)"/>
    <w:docVar w:name="IManageDocInfoCache(DocumentNumber)" w:val="89338566"/>
    <w:docVar w:name="IManageDocInfoCache(DocumentVersion)" w:val="8"/>
    <w:docVar w:name="IManageDocInfoCache(Matter)" w:val="1262412"/>
  </w:docVars>
  <w:rsids>
    <w:rsidRoot w:val="006977BC"/>
    <w:rsid w:val="00002AA1"/>
    <w:rsid w:val="00003568"/>
    <w:rsid w:val="00006F62"/>
    <w:rsid w:val="00016774"/>
    <w:rsid w:val="000247E0"/>
    <w:rsid w:val="00026EB7"/>
    <w:rsid w:val="00030791"/>
    <w:rsid w:val="00030AAA"/>
    <w:rsid w:val="00030AD6"/>
    <w:rsid w:val="0003143A"/>
    <w:rsid w:val="00031D37"/>
    <w:rsid w:val="00032E8C"/>
    <w:rsid w:val="00033766"/>
    <w:rsid w:val="0003597E"/>
    <w:rsid w:val="000401E7"/>
    <w:rsid w:val="00040907"/>
    <w:rsid w:val="00040A0B"/>
    <w:rsid w:val="0004377F"/>
    <w:rsid w:val="00043C5B"/>
    <w:rsid w:val="000441ED"/>
    <w:rsid w:val="000475FB"/>
    <w:rsid w:val="00051884"/>
    <w:rsid w:val="00054A07"/>
    <w:rsid w:val="00060EAA"/>
    <w:rsid w:val="000637BE"/>
    <w:rsid w:val="00064F9B"/>
    <w:rsid w:val="000652DE"/>
    <w:rsid w:val="000674BA"/>
    <w:rsid w:val="000700A9"/>
    <w:rsid w:val="0007090A"/>
    <w:rsid w:val="00071C9E"/>
    <w:rsid w:val="000725D6"/>
    <w:rsid w:val="0007376A"/>
    <w:rsid w:val="00075984"/>
    <w:rsid w:val="00083BEC"/>
    <w:rsid w:val="00084AC4"/>
    <w:rsid w:val="00085266"/>
    <w:rsid w:val="0008528D"/>
    <w:rsid w:val="00086B7F"/>
    <w:rsid w:val="000A1DC2"/>
    <w:rsid w:val="000A4954"/>
    <w:rsid w:val="000B18FE"/>
    <w:rsid w:val="000B2B5F"/>
    <w:rsid w:val="000B3AE3"/>
    <w:rsid w:val="000B5891"/>
    <w:rsid w:val="000C690D"/>
    <w:rsid w:val="000C766A"/>
    <w:rsid w:val="000D488C"/>
    <w:rsid w:val="000E08FA"/>
    <w:rsid w:val="000E475B"/>
    <w:rsid w:val="000F52AC"/>
    <w:rsid w:val="000F6537"/>
    <w:rsid w:val="000F670F"/>
    <w:rsid w:val="000F7135"/>
    <w:rsid w:val="000F75D1"/>
    <w:rsid w:val="000F7A60"/>
    <w:rsid w:val="00103E17"/>
    <w:rsid w:val="0010474B"/>
    <w:rsid w:val="0010482B"/>
    <w:rsid w:val="00104F55"/>
    <w:rsid w:val="00106060"/>
    <w:rsid w:val="00106768"/>
    <w:rsid w:val="00106FBF"/>
    <w:rsid w:val="001114A8"/>
    <w:rsid w:val="00111736"/>
    <w:rsid w:val="00121E96"/>
    <w:rsid w:val="00123613"/>
    <w:rsid w:val="001262B1"/>
    <w:rsid w:val="001302C6"/>
    <w:rsid w:val="001329C1"/>
    <w:rsid w:val="00133F5C"/>
    <w:rsid w:val="00135676"/>
    <w:rsid w:val="00137E38"/>
    <w:rsid w:val="00143CDE"/>
    <w:rsid w:val="00146F8D"/>
    <w:rsid w:val="0014778C"/>
    <w:rsid w:val="0015406E"/>
    <w:rsid w:val="00154894"/>
    <w:rsid w:val="001569C0"/>
    <w:rsid w:val="0016097B"/>
    <w:rsid w:val="00160E0E"/>
    <w:rsid w:val="0016332B"/>
    <w:rsid w:val="001633CD"/>
    <w:rsid w:val="001656E4"/>
    <w:rsid w:val="00171179"/>
    <w:rsid w:val="001740D0"/>
    <w:rsid w:val="00175991"/>
    <w:rsid w:val="0017678B"/>
    <w:rsid w:val="00176E97"/>
    <w:rsid w:val="001829C2"/>
    <w:rsid w:val="00182CAB"/>
    <w:rsid w:val="00183BFD"/>
    <w:rsid w:val="00185E51"/>
    <w:rsid w:val="00187C94"/>
    <w:rsid w:val="001924CE"/>
    <w:rsid w:val="00192ABC"/>
    <w:rsid w:val="0019683C"/>
    <w:rsid w:val="001B3576"/>
    <w:rsid w:val="001B3E5E"/>
    <w:rsid w:val="001B7F59"/>
    <w:rsid w:val="001C0B58"/>
    <w:rsid w:val="001C1D00"/>
    <w:rsid w:val="001C27D5"/>
    <w:rsid w:val="001C4A03"/>
    <w:rsid w:val="001D3215"/>
    <w:rsid w:val="001D77A1"/>
    <w:rsid w:val="001E085A"/>
    <w:rsid w:val="001E100A"/>
    <w:rsid w:val="001E33C8"/>
    <w:rsid w:val="001F1B93"/>
    <w:rsid w:val="001F2105"/>
    <w:rsid w:val="001F251D"/>
    <w:rsid w:val="001F2AD4"/>
    <w:rsid w:val="001F3E20"/>
    <w:rsid w:val="001F40F8"/>
    <w:rsid w:val="001F7A12"/>
    <w:rsid w:val="00201EFA"/>
    <w:rsid w:val="0020785B"/>
    <w:rsid w:val="002104EC"/>
    <w:rsid w:val="00211A1D"/>
    <w:rsid w:val="002121DE"/>
    <w:rsid w:val="0021588F"/>
    <w:rsid w:val="002161D0"/>
    <w:rsid w:val="00221E31"/>
    <w:rsid w:val="00222D46"/>
    <w:rsid w:val="00223C77"/>
    <w:rsid w:val="00227F45"/>
    <w:rsid w:val="00232492"/>
    <w:rsid w:val="00232FDF"/>
    <w:rsid w:val="00233686"/>
    <w:rsid w:val="00240217"/>
    <w:rsid w:val="00241F57"/>
    <w:rsid w:val="00245A81"/>
    <w:rsid w:val="00245AA2"/>
    <w:rsid w:val="00253714"/>
    <w:rsid w:val="00253A61"/>
    <w:rsid w:val="00254950"/>
    <w:rsid w:val="00263DCF"/>
    <w:rsid w:val="00265BBD"/>
    <w:rsid w:val="00266BB1"/>
    <w:rsid w:val="00270F38"/>
    <w:rsid w:val="0027445C"/>
    <w:rsid w:val="00277E7F"/>
    <w:rsid w:val="002806FC"/>
    <w:rsid w:val="00280C57"/>
    <w:rsid w:val="002826F1"/>
    <w:rsid w:val="002916F6"/>
    <w:rsid w:val="00297572"/>
    <w:rsid w:val="002A0785"/>
    <w:rsid w:val="002A0C76"/>
    <w:rsid w:val="002A2BB4"/>
    <w:rsid w:val="002A3AA2"/>
    <w:rsid w:val="002A50DA"/>
    <w:rsid w:val="002A56E4"/>
    <w:rsid w:val="002B1AB5"/>
    <w:rsid w:val="002B2AFC"/>
    <w:rsid w:val="002B6770"/>
    <w:rsid w:val="002C1869"/>
    <w:rsid w:val="002C427C"/>
    <w:rsid w:val="002C72E1"/>
    <w:rsid w:val="002D18F2"/>
    <w:rsid w:val="002E0D16"/>
    <w:rsid w:val="002E4C1A"/>
    <w:rsid w:val="002E7B71"/>
    <w:rsid w:val="002E7EAC"/>
    <w:rsid w:val="002F4339"/>
    <w:rsid w:val="003011DC"/>
    <w:rsid w:val="00301C73"/>
    <w:rsid w:val="00303733"/>
    <w:rsid w:val="00304D95"/>
    <w:rsid w:val="0031220E"/>
    <w:rsid w:val="00315BD8"/>
    <w:rsid w:val="003168CE"/>
    <w:rsid w:val="0032611E"/>
    <w:rsid w:val="00327D52"/>
    <w:rsid w:val="00330A39"/>
    <w:rsid w:val="00331434"/>
    <w:rsid w:val="00340420"/>
    <w:rsid w:val="00341ECF"/>
    <w:rsid w:val="00344A74"/>
    <w:rsid w:val="00346329"/>
    <w:rsid w:val="003465BD"/>
    <w:rsid w:val="00350D80"/>
    <w:rsid w:val="003523C9"/>
    <w:rsid w:val="00352D13"/>
    <w:rsid w:val="003553D9"/>
    <w:rsid w:val="00364828"/>
    <w:rsid w:val="0036679B"/>
    <w:rsid w:val="003672CE"/>
    <w:rsid w:val="00370284"/>
    <w:rsid w:val="00371A5D"/>
    <w:rsid w:val="003771F4"/>
    <w:rsid w:val="0038076F"/>
    <w:rsid w:val="00380B6F"/>
    <w:rsid w:val="00380EA8"/>
    <w:rsid w:val="00385C4F"/>
    <w:rsid w:val="003860FD"/>
    <w:rsid w:val="00386B9E"/>
    <w:rsid w:val="00386E46"/>
    <w:rsid w:val="00387C73"/>
    <w:rsid w:val="00393D2E"/>
    <w:rsid w:val="00395195"/>
    <w:rsid w:val="003966A3"/>
    <w:rsid w:val="003A2F12"/>
    <w:rsid w:val="003A5F0F"/>
    <w:rsid w:val="003B255E"/>
    <w:rsid w:val="003B591C"/>
    <w:rsid w:val="003C266B"/>
    <w:rsid w:val="003C57FE"/>
    <w:rsid w:val="003C60EC"/>
    <w:rsid w:val="003D10BA"/>
    <w:rsid w:val="003D5FAE"/>
    <w:rsid w:val="003D7470"/>
    <w:rsid w:val="003E0E21"/>
    <w:rsid w:val="003E1C22"/>
    <w:rsid w:val="003E287E"/>
    <w:rsid w:val="003E5128"/>
    <w:rsid w:val="003F0B29"/>
    <w:rsid w:val="003F2E38"/>
    <w:rsid w:val="003F4158"/>
    <w:rsid w:val="003F4673"/>
    <w:rsid w:val="003F7F32"/>
    <w:rsid w:val="004014DB"/>
    <w:rsid w:val="00404298"/>
    <w:rsid w:val="004053B9"/>
    <w:rsid w:val="004074E3"/>
    <w:rsid w:val="00407904"/>
    <w:rsid w:val="00410DB0"/>
    <w:rsid w:val="0041359A"/>
    <w:rsid w:val="00414712"/>
    <w:rsid w:val="004175C9"/>
    <w:rsid w:val="00417619"/>
    <w:rsid w:val="0042702E"/>
    <w:rsid w:val="00430520"/>
    <w:rsid w:val="00432CC3"/>
    <w:rsid w:val="00433054"/>
    <w:rsid w:val="00433F1F"/>
    <w:rsid w:val="004362F2"/>
    <w:rsid w:val="004414D7"/>
    <w:rsid w:val="0044569F"/>
    <w:rsid w:val="00446659"/>
    <w:rsid w:val="004506FB"/>
    <w:rsid w:val="00450DA2"/>
    <w:rsid w:val="00452FEA"/>
    <w:rsid w:val="00455E5B"/>
    <w:rsid w:val="00464533"/>
    <w:rsid w:val="00466E79"/>
    <w:rsid w:val="00471501"/>
    <w:rsid w:val="00474400"/>
    <w:rsid w:val="00476C78"/>
    <w:rsid w:val="004836D9"/>
    <w:rsid w:val="0048485E"/>
    <w:rsid w:val="00484CB8"/>
    <w:rsid w:val="00490BF8"/>
    <w:rsid w:val="00491879"/>
    <w:rsid w:val="00493704"/>
    <w:rsid w:val="00494248"/>
    <w:rsid w:val="0049438E"/>
    <w:rsid w:val="004945B2"/>
    <w:rsid w:val="004956D7"/>
    <w:rsid w:val="004974E9"/>
    <w:rsid w:val="004A3A86"/>
    <w:rsid w:val="004A4A0C"/>
    <w:rsid w:val="004A6AE2"/>
    <w:rsid w:val="004A7D26"/>
    <w:rsid w:val="004B7C92"/>
    <w:rsid w:val="004C02D2"/>
    <w:rsid w:val="004C04AE"/>
    <w:rsid w:val="004C5038"/>
    <w:rsid w:val="004D14C4"/>
    <w:rsid w:val="004D1B73"/>
    <w:rsid w:val="004D2474"/>
    <w:rsid w:val="004D54DF"/>
    <w:rsid w:val="004D6332"/>
    <w:rsid w:val="004D77A5"/>
    <w:rsid w:val="004E004C"/>
    <w:rsid w:val="004E0936"/>
    <w:rsid w:val="004E3DB7"/>
    <w:rsid w:val="004F1BFC"/>
    <w:rsid w:val="004F2BB1"/>
    <w:rsid w:val="004F6F16"/>
    <w:rsid w:val="004F7554"/>
    <w:rsid w:val="00501E3F"/>
    <w:rsid w:val="0050502E"/>
    <w:rsid w:val="0050733A"/>
    <w:rsid w:val="005163A4"/>
    <w:rsid w:val="005163B5"/>
    <w:rsid w:val="00516E14"/>
    <w:rsid w:val="00517D54"/>
    <w:rsid w:val="005238A1"/>
    <w:rsid w:val="005267A8"/>
    <w:rsid w:val="00530265"/>
    <w:rsid w:val="00530F6D"/>
    <w:rsid w:val="00531E7C"/>
    <w:rsid w:val="00535F61"/>
    <w:rsid w:val="005378ED"/>
    <w:rsid w:val="00537B06"/>
    <w:rsid w:val="00545511"/>
    <w:rsid w:val="00545605"/>
    <w:rsid w:val="00545B11"/>
    <w:rsid w:val="00547F66"/>
    <w:rsid w:val="0055160D"/>
    <w:rsid w:val="00552D71"/>
    <w:rsid w:val="00553B89"/>
    <w:rsid w:val="005569A8"/>
    <w:rsid w:val="0056062C"/>
    <w:rsid w:val="005629CE"/>
    <w:rsid w:val="00563DA2"/>
    <w:rsid w:val="00574E18"/>
    <w:rsid w:val="00587D07"/>
    <w:rsid w:val="005921EB"/>
    <w:rsid w:val="0059409E"/>
    <w:rsid w:val="005948DD"/>
    <w:rsid w:val="005A25D5"/>
    <w:rsid w:val="005A4DAE"/>
    <w:rsid w:val="005B72A1"/>
    <w:rsid w:val="005C2E95"/>
    <w:rsid w:val="005D092C"/>
    <w:rsid w:val="005D0ABD"/>
    <w:rsid w:val="005D12AE"/>
    <w:rsid w:val="005D1E36"/>
    <w:rsid w:val="005D20A9"/>
    <w:rsid w:val="005D601D"/>
    <w:rsid w:val="005D75AB"/>
    <w:rsid w:val="005E3574"/>
    <w:rsid w:val="005E3A49"/>
    <w:rsid w:val="005E6996"/>
    <w:rsid w:val="005F40C8"/>
    <w:rsid w:val="005F7BD9"/>
    <w:rsid w:val="00601443"/>
    <w:rsid w:val="0060188C"/>
    <w:rsid w:val="006034EA"/>
    <w:rsid w:val="00603D69"/>
    <w:rsid w:val="00606F47"/>
    <w:rsid w:val="006126AC"/>
    <w:rsid w:val="00613739"/>
    <w:rsid w:val="006160D0"/>
    <w:rsid w:val="00621467"/>
    <w:rsid w:val="006235EB"/>
    <w:rsid w:val="00623E81"/>
    <w:rsid w:val="00624E61"/>
    <w:rsid w:val="00626666"/>
    <w:rsid w:val="00626C03"/>
    <w:rsid w:val="00626CC0"/>
    <w:rsid w:val="00631BA9"/>
    <w:rsid w:val="00632F34"/>
    <w:rsid w:val="00635B2C"/>
    <w:rsid w:val="00640281"/>
    <w:rsid w:val="00641932"/>
    <w:rsid w:val="0064462E"/>
    <w:rsid w:val="00650D45"/>
    <w:rsid w:val="00663E5B"/>
    <w:rsid w:val="00670581"/>
    <w:rsid w:val="00672C96"/>
    <w:rsid w:val="00673312"/>
    <w:rsid w:val="006734D6"/>
    <w:rsid w:val="00673DB5"/>
    <w:rsid w:val="0067627C"/>
    <w:rsid w:val="00677986"/>
    <w:rsid w:val="0068255C"/>
    <w:rsid w:val="0068476A"/>
    <w:rsid w:val="00685D88"/>
    <w:rsid w:val="00690341"/>
    <w:rsid w:val="00690BBA"/>
    <w:rsid w:val="00691FD8"/>
    <w:rsid w:val="00692583"/>
    <w:rsid w:val="006977BC"/>
    <w:rsid w:val="006A01CE"/>
    <w:rsid w:val="006A1266"/>
    <w:rsid w:val="006A689A"/>
    <w:rsid w:val="006A723B"/>
    <w:rsid w:val="006A7DE7"/>
    <w:rsid w:val="006B509A"/>
    <w:rsid w:val="006B6BB6"/>
    <w:rsid w:val="006B77AA"/>
    <w:rsid w:val="006C2B76"/>
    <w:rsid w:val="006C45EC"/>
    <w:rsid w:val="006D05A3"/>
    <w:rsid w:val="006D17CB"/>
    <w:rsid w:val="006D1816"/>
    <w:rsid w:val="006D1A43"/>
    <w:rsid w:val="006D460A"/>
    <w:rsid w:val="006E01CA"/>
    <w:rsid w:val="006E1834"/>
    <w:rsid w:val="006E42E6"/>
    <w:rsid w:val="006E6ADC"/>
    <w:rsid w:val="006F768B"/>
    <w:rsid w:val="006F7698"/>
    <w:rsid w:val="00703BEA"/>
    <w:rsid w:val="00705649"/>
    <w:rsid w:val="007178EE"/>
    <w:rsid w:val="00720760"/>
    <w:rsid w:val="00724788"/>
    <w:rsid w:val="00726FB5"/>
    <w:rsid w:val="007275A7"/>
    <w:rsid w:val="00727F64"/>
    <w:rsid w:val="00734BD1"/>
    <w:rsid w:val="00737B4E"/>
    <w:rsid w:val="00741E5D"/>
    <w:rsid w:val="00744B4E"/>
    <w:rsid w:val="00744C41"/>
    <w:rsid w:val="00753BF2"/>
    <w:rsid w:val="00762BE7"/>
    <w:rsid w:val="00762C7C"/>
    <w:rsid w:val="00772CC1"/>
    <w:rsid w:val="0077427C"/>
    <w:rsid w:val="00776DC7"/>
    <w:rsid w:val="007779C2"/>
    <w:rsid w:val="00780446"/>
    <w:rsid w:val="007823E1"/>
    <w:rsid w:val="00783A59"/>
    <w:rsid w:val="00785CD0"/>
    <w:rsid w:val="0078708C"/>
    <w:rsid w:val="007924F4"/>
    <w:rsid w:val="007961AF"/>
    <w:rsid w:val="007A2F18"/>
    <w:rsid w:val="007A3E28"/>
    <w:rsid w:val="007A584A"/>
    <w:rsid w:val="007B30F4"/>
    <w:rsid w:val="007B58D8"/>
    <w:rsid w:val="007B68D1"/>
    <w:rsid w:val="007C0C0C"/>
    <w:rsid w:val="007C1C75"/>
    <w:rsid w:val="007C2421"/>
    <w:rsid w:val="007C26A3"/>
    <w:rsid w:val="007C52F8"/>
    <w:rsid w:val="007C590C"/>
    <w:rsid w:val="007D4D80"/>
    <w:rsid w:val="007D4E7F"/>
    <w:rsid w:val="007D7490"/>
    <w:rsid w:val="007E3228"/>
    <w:rsid w:val="007E3EB1"/>
    <w:rsid w:val="007E4D17"/>
    <w:rsid w:val="007E5FE9"/>
    <w:rsid w:val="007F4135"/>
    <w:rsid w:val="007F52FF"/>
    <w:rsid w:val="007F5A4C"/>
    <w:rsid w:val="008045DE"/>
    <w:rsid w:val="00804BBF"/>
    <w:rsid w:val="00805202"/>
    <w:rsid w:val="00807660"/>
    <w:rsid w:val="008078FA"/>
    <w:rsid w:val="0081195B"/>
    <w:rsid w:val="00812CC2"/>
    <w:rsid w:val="008133A1"/>
    <w:rsid w:val="00813BEA"/>
    <w:rsid w:val="00814378"/>
    <w:rsid w:val="00815BDE"/>
    <w:rsid w:val="0081682C"/>
    <w:rsid w:val="00816D87"/>
    <w:rsid w:val="0081765B"/>
    <w:rsid w:val="00832012"/>
    <w:rsid w:val="00832AEE"/>
    <w:rsid w:val="00835DFE"/>
    <w:rsid w:val="00840776"/>
    <w:rsid w:val="0084461F"/>
    <w:rsid w:val="00844D32"/>
    <w:rsid w:val="0085118D"/>
    <w:rsid w:val="008522A0"/>
    <w:rsid w:val="0085630E"/>
    <w:rsid w:val="00856682"/>
    <w:rsid w:val="00857C3F"/>
    <w:rsid w:val="00862756"/>
    <w:rsid w:val="0087005C"/>
    <w:rsid w:val="0087113D"/>
    <w:rsid w:val="00872B88"/>
    <w:rsid w:val="00873A16"/>
    <w:rsid w:val="008759E0"/>
    <w:rsid w:val="00880789"/>
    <w:rsid w:val="00880A52"/>
    <w:rsid w:val="00883BE7"/>
    <w:rsid w:val="00892D64"/>
    <w:rsid w:val="00894E3D"/>
    <w:rsid w:val="00897436"/>
    <w:rsid w:val="008A4003"/>
    <w:rsid w:val="008A4ADC"/>
    <w:rsid w:val="008A5FEA"/>
    <w:rsid w:val="008B52FE"/>
    <w:rsid w:val="008B5AAC"/>
    <w:rsid w:val="008C1DBD"/>
    <w:rsid w:val="008C42D2"/>
    <w:rsid w:val="008C55A3"/>
    <w:rsid w:val="008C5832"/>
    <w:rsid w:val="008C617C"/>
    <w:rsid w:val="008D011F"/>
    <w:rsid w:val="008D14D6"/>
    <w:rsid w:val="008D362F"/>
    <w:rsid w:val="008D73F3"/>
    <w:rsid w:val="008E0286"/>
    <w:rsid w:val="008E111B"/>
    <w:rsid w:val="008E3817"/>
    <w:rsid w:val="008E4B0E"/>
    <w:rsid w:val="008E7294"/>
    <w:rsid w:val="008E7375"/>
    <w:rsid w:val="008F0ADE"/>
    <w:rsid w:val="008F4CCC"/>
    <w:rsid w:val="008F5C59"/>
    <w:rsid w:val="008F5F88"/>
    <w:rsid w:val="00900A26"/>
    <w:rsid w:val="00902F85"/>
    <w:rsid w:val="009050C9"/>
    <w:rsid w:val="009075D7"/>
    <w:rsid w:val="0090761D"/>
    <w:rsid w:val="00907967"/>
    <w:rsid w:val="0091163B"/>
    <w:rsid w:val="009118C0"/>
    <w:rsid w:val="0091213A"/>
    <w:rsid w:val="009127C1"/>
    <w:rsid w:val="009155E6"/>
    <w:rsid w:val="009159A5"/>
    <w:rsid w:val="00927DF8"/>
    <w:rsid w:val="00930D58"/>
    <w:rsid w:val="0093275B"/>
    <w:rsid w:val="00933116"/>
    <w:rsid w:val="00934CBB"/>
    <w:rsid w:val="009367F4"/>
    <w:rsid w:val="00941168"/>
    <w:rsid w:val="00943A9A"/>
    <w:rsid w:val="009469C2"/>
    <w:rsid w:val="0095333A"/>
    <w:rsid w:val="00954932"/>
    <w:rsid w:val="009563E4"/>
    <w:rsid w:val="00956738"/>
    <w:rsid w:val="009570AB"/>
    <w:rsid w:val="009570DE"/>
    <w:rsid w:val="009661CA"/>
    <w:rsid w:val="0097127B"/>
    <w:rsid w:val="00972929"/>
    <w:rsid w:val="009768BD"/>
    <w:rsid w:val="009819EF"/>
    <w:rsid w:val="00986CD9"/>
    <w:rsid w:val="00986D8A"/>
    <w:rsid w:val="00991E7B"/>
    <w:rsid w:val="00991FC5"/>
    <w:rsid w:val="009922C4"/>
    <w:rsid w:val="00995E44"/>
    <w:rsid w:val="009A0EF7"/>
    <w:rsid w:val="009A21D1"/>
    <w:rsid w:val="009A3CEF"/>
    <w:rsid w:val="009B336B"/>
    <w:rsid w:val="009B6030"/>
    <w:rsid w:val="009B6694"/>
    <w:rsid w:val="009B6FFF"/>
    <w:rsid w:val="009B7BD3"/>
    <w:rsid w:val="009B7FCD"/>
    <w:rsid w:val="009C4F76"/>
    <w:rsid w:val="009C5CDB"/>
    <w:rsid w:val="009C702C"/>
    <w:rsid w:val="009D180B"/>
    <w:rsid w:val="009D2665"/>
    <w:rsid w:val="009D60A5"/>
    <w:rsid w:val="009D6B57"/>
    <w:rsid w:val="009E48D4"/>
    <w:rsid w:val="009F1EFB"/>
    <w:rsid w:val="009F4CF8"/>
    <w:rsid w:val="009F624C"/>
    <w:rsid w:val="009F71B3"/>
    <w:rsid w:val="00A00FE4"/>
    <w:rsid w:val="00A021AA"/>
    <w:rsid w:val="00A026EA"/>
    <w:rsid w:val="00A13068"/>
    <w:rsid w:val="00A13C3E"/>
    <w:rsid w:val="00A1516C"/>
    <w:rsid w:val="00A16231"/>
    <w:rsid w:val="00A1743B"/>
    <w:rsid w:val="00A20CED"/>
    <w:rsid w:val="00A21C6D"/>
    <w:rsid w:val="00A26D58"/>
    <w:rsid w:val="00A31F49"/>
    <w:rsid w:val="00A33AC5"/>
    <w:rsid w:val="00A3489D"/>
    <w:rsid w:val="00A353A2"/>
    <w:rsid w:val="00A37063"/>
    <w:rsid w:val="00A37F8C"/>
    <w:rsid w:val="00A42BBF"/>
    <w:rsid w:val="00A42F3D"/>
    <w:rsid w:val="00A4674D"/>
    <w:rsid w:val="00A52330"/>
    <w:rsid w:val="00A57D9F"/>
    <w:rsid w:val="00A60A21"/>
    <w:rsid w:val="00A619C4"/>
    <w:rsid w:val="00A671E2"/>
    <w:rsid w:val="00A67689"/>
    <w:rsid w:val="00A7001A"/>
    <w:rsid w:val="00A740CE"/>
    <w:rsid w:val="00A80851"/>
    <w:rsid w:val="00A8196D"/>
    <w:rsid w:val="00A82BFA"/>
    <w:rsid w:val="00A86941"/>
    <w:rsid w:val="00A87E9F"/>
    <w:rsid w:val="00A904BF"/>
    <w:rsid w:val="00A90C84"/>
    <w:rsid w:val="00A92CB8"/>
    <w:rsid w:val="00A932D6"/>
    <w:rsid w:val="00A95635"/>
    <w:rsid w:val="00A96775"/>
    <w:rsid w:val="00A9704C"/>
    <w:rsid w:val="00A97CA1"/>
    <w:rsid w:val="00AA147B"/>
    <w:rsid w:val="00AA5C0B"/>
    <w:rsid w:val="00AB1E65"/>
    <w:rsid w:val="00AB457F"/>
    <w:rsid w:val="00AB5175"/>
    <w:rsid w:val="00AB622F"/>
    <w:rsid w:val="00AB62BB"/>
    <w:rsid w:val="00AB68C6"/>
    <w:rsid w:val="00AC0D2D"/>
    <w:rsid w:val="00AC4C06"/>
    <w:rsid w:val="00AC5BF7"/>
    <w:rsid w:val="00AD188C"/>
    <w:rsid w:val="00AD7692"/>
    <w:rsid w:val="00AE4C1A"/>
    <w:rsid w:val="00AE5E3A"/>
    <w:rsid w:val="00AF1B60"/>
    <w:rsid w:val="00AF55CF"/>
    <w:rsid w:val="00AF6E3D"/>
    <w:rsid w:val="00AF7BF5"/>
    <w:rsid w:val="00B02019"/>
    <w:rsid w:val="00B02A70"/>
    <w:rsid w:val="00B05A26"/>
    <w:rsid w:val="00B0697A"/>
    <w:rsid w:val="00B06EA0"/>
    <w:rsid w:val="00B07444"/>
    <w:rsid w:val="00B104BB"/>
    <w:rsid w:val="00B106F7"/>
    <w:rsid w:val="00B131DD"/>
    <w:rsid w:val="00B13C34"/>
    <w:rsid w:val="00B15AF3"/>
    <w:rsid w:val="00B17553"/>
    <w:rsid w:val="00B215C9"/>
    <w:rsid w:val="00B26BD5"/>
    <w:rsid w:val="00B368C6"/>
    <w:rsid w:val="00B41049"/>
    <w:rsid w:val="00B411C0"/>
    <w:rsid w:val="00B4456A"/>
    <w:rsid w:val="00B50E66"/>
    <w:rsid w:val="00B514B4"/>
    <w:rsid w:val="00B526CB"/>
    <w:rsid w:val="00B53931"/>
    <w:rsid w:val="00B55AE3"/>
    <w:rsid w:val="00B55FC0"/>
    <w:rsid w:val="00B564CE"/>
    <w:rsid w:val="00B6002C"/>
    <w:rsid w:val="00B64D98"/>
    <w:rsid w:val="00B656E4"/>
    <w:rsid w:val="00B65B4F"/>
    <w:rsid w:val="00B70754"/>
    <w:rsid w:val="00B746F4"/>
    <w:rsid w:val="00B748CE"/>
    <w:rsid w:val="00B81460"/>
    <w:rsid w:val="00B81C06"/>
    <w:rsid w:val="00B92A64"/>
    <w:rsid w:val="00B92EB5"/>
    <w:rsid w:val="00B94D8C"/>
    <w:rsid w:val="00B95EFF"/>
    <w:rsid w:val="00B9638C"/>
    <w:rsid w:val="00B97144"/>
    <w:rsid w:val="00B974CB"/>
    <w:rsid w:val="00BA5EB8"/>
    <w:rsid w:val="00BB0917"/>
    <w:rsid w:val="00BC0117"/>
    <w:rsid w:val="00BC1596"/>
    <w:rsid w:val="00BC37BF"/>
    <w:rsid w:val="00BD05F9"/>
    <w:rsid w:val="00BD197A"/>
    <w:rsid w:val="00BE0FC4"/>
    <w:rsid w:val="00BE2D70"/>
    <w:rsid w:val="00BE3AA7"/>
    <w:rsid w:val="00BE5BA7"/>
    <w:rsid w:val="00BE72A2"/>
    <w:rsid w:val="00BE7A83"/>
    <w:rsid w:val="00BF2CC9"/>
    <w:rsid w:val="00BF515F"/>
    <w:rsid w:val="00BF525E"/>
    <w:rsid w:val="00C0030F"/>
    <w:rsid w:val="00C04654"/>
    <w:rsid w:val="00C052C1"/>
    <w:rsid w:val="00C06E05"/>
    <w:rsid w:val="00C1463B"/>
    <w:rsid w:val="00C210B5"/>
    <w:rsid w:val="00C2200A"/>
    <w:rsid w:val="00C22B60"/>
    <w:rsid w:val="00C23C15"/>
    <w:rsid w:val="00C3298F"/>
    <w:rsid w:val="00C3370A"/>
    <w:rsid w:val="00C3415D"/>
    <w:rsid w:val="00C35B74"/>
    <w:rsid w:val="00C3644A"/>
    <w:rsid w:val="00C37E11"/>
    <w:rsid w:val="00C47181"/>
    <w:rsid w:val="00C50CD4"/>
    <w:rsid w:val="00C51958"/>
    <w:rsid w:val="00C51BAE"/>
    <w:rsid w:val="00C63595"/>
    <w:rsid w:val="00C636B5"/>
    <w:rsid w:val="00C72C93"/>
    <w:rsid w:val="00C81DE4"/>
    <w:rsid w:val="00C8304F"/>
    <w:rsid w:val="00C8458D"/>
    <w:rsid w:val="00C93343"/>
    <w:rsid w:val="00C9487F"/>
    <w:rsid w:val="00C95AFF"/>
    <w:rsid w:val="00CA0FC4"/>
    <w:rsid w:val="00CA1A9F"/>
    <w:rsid w:val="00CA5D2F"/>
    <w:rsid w:val="00CB0687"/>
    <w:rsid w:val="00CB0BC7"/>
    <w:rsid w:val="00CB1F79"/>
    <w:rsid w:val="00CB3A0A"/>
    <w:rsid w:val="00CB5350"/>
    <w:rsid w:val="00CB784F"/>
    <w:rsid w:val="00CB7AD8"/>
    <w:rsid w:val="00CC0510"/>
    <w:rsid w:val="00CC0FDF"/>
    <w:rsid w:val="00CC2482"/>
    <w:rsid w:val="00CD03E4"/>
    <w:rsid w:val="00CD10F6"/>
    <w:rsid w:val="00CD42FF"/>
    <w:rsid w:val="00CD45B1"/>
    <w:rsid w:val="00CD75B7"/>
    <w:rsid w:val="00CE6403"/>
    <w:rsid w:val="00CF012B"/>
    <w:rsid w:val="00CF01A4"/>
    <w:rsid w:val="00CF60C4"/>
    <w:rsid w:val="00CF7038"/>
    <w:rsid w:val="00D02467"/>
    <w:rsid w:val="00D047CF"/>
    <w:rsid w:val="00D05C16"/>
    <w:rsid w:val="00D07ECD"/>
    <w:rsid w:val="00D1102D"/>
    <w:rsid w:val="00D20F67"/>
    <w:rsid w:val="00D225A2"/>
    <w:rsid w:val="00D24666"/>
    <w:rsid w:val="00D27B14"/>
    <w:rsid w:val="00D32AD9"/>
    <w:rsid w:val="00D47224"/>
    <w:rsid w:val="00D50284"/>
    <w:rsid w:val="00D513D2"/>
    <w:rsid w:val="00D55837"/>
    <w:rsid w:val="00D55B10"/>
    <w:rsid w:val="00D635A5"/>
    <w:rsid w:val="00D64588"/>
    <w:rsid w:val="00D657B9"/>
    <w:rsid w:val="00D73A4E"/>
    <w:rsid w:val="00D8068C"/>
    <w:rsid w:val="00D81DBC"/>
    <w:rsid w:val="00D95CCB"/>
    <w:rsid w:val="00DA5C1F"/>
    <w:rsid w:val="00DB15C9"/>
    <w:rsid w:val="00DB3852"/>
    <w:rsid w:val="00DB4BDE"/>
    <w:rsid w:val="00DB6399"/>
    <w:rsid w:val="00DC1745"/>
    <w:rsid w:val="00DC4627"/>
    <w:rsid w:val="00DC6642"/>
    <w:rsid w:val="00DD1B88"/>
    <w:rsid w:val="00DD5F73"/>
    <w:rsid w:val="00DD6DC6"/>
    <w:rsid w:val="00DE0ACB"/>
    <w:rsid w:val="00DE2296"/>
    <w:rsid w:val="00DE332B"/>
    <w:rsid w:val="00DF2EB4"/>
    <w:rsid w:val="00DF56F9"/>
    <w:rsid w:val="00DF72D4"/>
    <w:rsid w:val="00E00116"/>
    <w:rsid w:val="00E03520"/>
    <w:rsid w:val="00E043EA"/>
    <w:rsid w:val="00E05C71"/>
    <w:rsid w:val="00E10024"/>
    <w:rsid w:val="00E16E36"/>
    <w:rsid w:val="00E21B91"/>
    <w:rsid w:val="00E234B1"/>
    <w:rsid w:val="00E25771"/>
    <w:rsid w:val="00E25D61"/>
    <w:rsid w:val="00E31D17"/>
    <w:rsid w:val="00E31D94"/>
    <w:rsid w:val="00E34155"/>
    <w:rsid w:val="00E363C8"/>
    <w:rsid w:val="00E36D32"/>
    <w:rsid w:val="00E422BA"/>
    <w:rsid w:val="00E4409A"/>
    <w:rsid w:val="00E44734"/>
    <w:rsid w:val="00E451FA"/>
    <w:rsid w:val="00E477B8"/>
    <w:rsid w:val="00E517C8"/>
    <w:rsid w:val="00E5209F"/>
    <w:rsid w:val="00E53331"/>
    <w:rsid w:val="00E579FA"/>
    <w:rsid w:val="00E64822"/>
    <w:rsid w:val="00E701E4"/>
    <w:rsid w:val="00E7374F"/>
    <w:rsid w:val="00E769AF"/>
    <w:rsid w:val="00E8136B"/>
    <w:rsid w:val="00E8161F"/>
    <w:rsid w:val="00E81D54"/>
    <w:rsid w:val="00E826AD"/>
    <w:rsid w:val="00E82E3D"/>
    <w:rsid w:val="00E91745"/>
    <w:rsid w:val="00E943C7"/>
    <w:rsid w:val="00EA2B0F"/>
    <w:rsid w:val="00EA76D3"/>
    <w:rsid w:val="00EB0BD5"/>
    <w:rsid w:val="00EC2AB7"/>
    <w:rsid w:val="00EC5428"/>
    <w:rsid w:val="00EC5D4A"/>
    <w:rsid w:val="00EC601D"/>
    <w:rsid w:val="00EC7B6A"/>
    <w:rsid w:val="00ED28FC"/>
    <w:rsid w:val="00ED3380"/>
    <w:rsid w:val="00ED4641"/>
    <w:rsid w:val="00ED56F7"/>
    <w:rsid w:val="00ED7154"/>
    <w:rsid w:val="00EE121D"/>
    <w:rsid w:val="00EE61BC"/>
    <w:rsid w:val="00EE76A8"/>
    <w:rsid w:val="00EF0E40"/>
    <w:rsid w:val="00EF1D7E"/>
    <w:rsid w:val="00EF29C7"/>
    <w:rsid w:val="00EF35C2"/>
    <w:rsid w:val="00EF4721"/>
    <w:rsid w:val="00EF5D6A"/>
    <w:rsid w:val="00EF5F48"/>
    <w:rsid w:val="00F04FA2"/>
    <w:rsid w:val="00F069A8"/>
    <w:rsid w:val="00F16188"/>
    <w:rsid w:val="00F1641F"/>
    <w:rsid w:val="00F22421"/>
    <w:rsid w:val="00F25851"/>
    <w:rsid w:val="00F25B9B"/>
    <w:rsid w:val="00F26AE8"/>
    <w:rsid w:val="00F26C12"/>
    <w:rsid w:val="00F3206C"/>
    <w:rsid w:val="00F3287E"/>
    <w:rsid w:val="00F36B0D"/>
    <w:rsid w:val="00F460E3"/>
    <w:rsid w:val="00F47BD9"/>
    <w:rsid w:val="00F47C7B"/>
    <w:rsid w:val="00F56640"/>
    <w:rsid w:val="00F56A20"/>
    <w:rsid w:val="00F57C4D"/>
    <w:rsid w:val="00F6267F"/>
    <w:rsid w:val="00F62EF6"/>
    <w:rsid w:val="00F66122"/>
    <w:rsid w:val="00F7520A"/>
    <w:rsid w:val="00F80773"/>
    <w:rsid w:val="00F81DBD"/>
    <w:rsid w:val="00F82889"/>
    <w:rsid w:val="00F84F96"/>
    <w:rsid w:val="00F877BD"/>
    <w:rsid w:val="00F92119"/>
    <w:rsid w:val="00F960BE"/>
    <w:rsid w:val="00F97C4F"/>
    <w:rsid w:val="00FA05AF"/>
    <w:rsid w:val="00FA0E26"/>
    <w:rsid w:val="00FA5020"/>
    <w:rsid w:val="00FA70B3"/>
    <w:rsid w:val="00FB03D0"/>
    <w:rsid w:val="00FC0C2B"/>
    <w:rsid w:val="00FC26C9"/>
    <w:rsid w:val="00FC2D13"/>
    <w:rsid w:val="00FC3E1B"/>
    <w:rsid w:val="00FC5070"/>
    <w:rsid w:val="00FC658D"/>
    <w:rsid w:val="00FC696A"/>
    <w:rsid w:val="00FD4664"/>
    <w:rsid w:val="00FD6E22"/>
    <w:rsid w:val="00FE0185"/>
    <w:rsid w:val="00FE0C0C"/>
    <w:rsid w:val="00FE2D8D"/>
    <w:rsid w:val="00FE5E69"/>
    <w:rsid w:val="00FE6C6E"/>
    <w:rsid w:val="00FF0D1C"/>
    <w:rsid w:val="00FF3A2C"/>
    <w:rsid w:val="00FF41DD"/>
    <w:rsid w:val="00FF6434"/>
    <w:rsid w:val="00FF7059"/>
    <w:rsid w:val="00FF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78C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Book Antiqua" w:hAnsi="Book Antiqu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1D1"/>
    <w:pPr>
      <w:spacing w:after="200" w:line="276" w:lineRule="auto"/>
    </w:pPr>
    <w:rPr>
      <w:rFonts w:ascii="Times New Roman" w:eastAsia="Calibri" w:hAnsi="Times New Roman"/>
      <w:sz w:val="24"/>
      <w:szCs w:val="22"/>
    </w:rPr>
  </w:style>
  <w:style w:type="paragraph" w:styleId="Heading1">
    <w:name w:val="heading 1"/>
    <w:basedOn w:val="Normal"/>
    <w:next w:val="Normal"/>
    <w:link w:val="Heading1Char"/>
    <w:qFormat/>
    <w:rsid w:val="00CD03E4"/>
    <w:pPr>
      <w:keepNext/>
      <w:spacing w:before="240" w:after="60"/>
      <w:outlineLvl w:val="0"/>
    </w:pPr>
    <w:rPr>
      <w:rFonts w:ascii="Book Antiqua" w:eastAsia="Times New Roman" w:hAnsi="Book Antiqua"/>
      <w:b/>
      <w:bCs/>
      <w:color w:val="000000"/>
      <w:szCs w:val="28"/>
    </w:rPr>
  </w:style>
  <w:style w:type="paragraph" w:styleId="Heading2">
    <w:name w:val="heading 2"/>
    <w:basedOn w:val="Normal"/>
    <w:next w:val="Normal"/>
    <w:link w:val="Heading2Char"/>
    <w:qFormat/>
    <w:rsid w:val="00CD03E4"/>
    <w:pPr>
      <w:keepNext/>
      <w:spacing w:before="240" w:after="60"/>
      <w:outlineLvl w:val="1"/>
    </w:pPr>
    <w:rPr>
      <w:rFonts w:ascii="Book Antiqua" w:eastAsia="Times New Roman" w:hAnsi="Book Antiqua"/>
      <w:b/>
      <w:bCs/>
      <w:color w:val="000000"/>
      <w:szCs w:val="26"/>
    </w:rPr>
  </w:style>
  <w:style w:type="paragraph" w:styleId="Heading3">
    <w:name w:val="heading 3"/>
    <w:basedOn w:val="Normal"/>
    <w:next w:val="Normal"/>
    <w:link w:val="Heading3Char"/>
    <w:qFormat/>
    <w:rsid w:val="00CD03E4"/>
    <w:pPr>
      <w:keepNext/>
      <w:spacing w:before="240" w:after="60"/>
      <w:outlineLvl w:val="2"/>
    </w:pPr>
    <w:rPr>
      <w:rFonts w:ascii="Book Antiqua" w:eastAsia="Times New Roman" w:hAnsi="Book Antiqua"/>
      <w:bCs/>
      <w:color w:val="000000"/>
    </w:rPr>
  </w:style>
  <w:style w:type="paragraph" w:styleId="Heading4">
    <w:name w:val="heading 4"/>
    <w:basedOn w:val="Normal"/>
    <w:next w:val="Normal"/>
    <w:link w:val="Heading4Char"/>
    <w:uiPriority w:val="9"/>
    <w:qFormat/>
    <w:rsid w:val="00A353A2"/>
    <w:pPr>
      <w:keepNext/>
      <w:keepLines/>
      <w:spacing w:before="200" w:after="0"/>
      <w:outlineLvl w:val="3"/>
    </w:pPr>
    <w:rPr>
      <w:rFonts w:ascii="Book Antiqua" w:eastAsia="Times New Roman" w:hAnsi="Book Antiqua"/>
      <w:b/>
      <w:bCs/>
      <w:i/>
      <w:iCs/>
      <w:color w:val="000000"/>
    </w:rPr>
  </w:style>
  <w:style w:type="paragraph" w:styleId="Heading5">
    <w:name w:val="heading 5"/>
    <w:basedOn w:val="Normal"/>
    <w:next w:val="Normal"/>
    <w:link w:val="Heading5Char"/>
    <w:uiPriority w:val="9"/>
    <w:qFormat/>
    <w:rsid w:val="00A353A2"/>
    <w:pPr>
      <w:keepNext/>
      <w:keepLines/>
      <w:spacing w:before="200" w:after="0"/>
      <w:outlineLvl w:val="4"/>
    </w:pPr>
    <w:rPr>
      <w:rFonts w:ascii="Book Antiqua" w:eastAsia="Times New Roman" w:hAnsi="Book Antiqua"/>
      <w:color w:val="000000"/>
    </w:rPr>
  </w:style>
  <w:style w:type="paragraph" w:styleId="Heading6">
    <w:name w:val="heading 6"/>
    <w:basedOn w:val="Normal"/>
    <w:next w:val="Normal"/>
    <w:link w:val="Heading6Char"/>
    <w:uiPriority w:val="9"/>
    <w:qFormat/>
    <w:rsid w:val="00A353A2"/>
    <w:pPr>
      <w:keepNext/>
      <w:keepLines/>
      <w:spacing w:before="200" w:after="0"/>
      <w:outlineLvl w:val="5"/>
    </w:pPr>
    <w:rPr>
      <w:rFonts w:ascii="Book Antiqua" w:eastAsia="Times New Roman" w:hAnsi="Book Antiqua"/>
      <w:i/>
      <w:iCs/>
      <w:color w:val="000000"/>
    </w:rPr>
  </w:style>
  <w:style w:type="paragraph" w:styleId="Heading7">
    <w:name w:val="heading 7"/>
    <w:basedOn w:val="Normal"/>
    <w:next w:val="Normal"/>
    <w:link w:val="Heading7Char"/>
    <w:uiPriority w:val="9"/>
    <w:qFormat/>
    <w:rsid w:val="00A353A2"/>
    <w:pPr>
      <w:keepNext/>
      <w:keepLines/>
      <w:spacing w:before="200" w:after="0"/>
      <w:outlineLvl w:val="6"/>
    </w:pPr>
    <w:rPr>
      <w:rFonts w:ascii="Book Antiqua" w:eastAsia="Times New Roman" w:hAnsi="Book Antiqua"/>
      <w:i/>
      <w:iCs/>
      <w:color w:val="404040"/>
    </w:rPr>
  </w:style>
  <w:style w:type="paragraph" w:styleId="Heading8">
    <w:name w:val="heading 8"/>
    <w:basedOn w:val="Normal"/>
    <w:next w:val="Normal"/>
    <w:link w:val="Heading8Char"/>
    <w:uiPriority w:val="9"/>
    <w:qFormat/>
    <w:rsid w:val="00A353A2"/>
    <w:pPr>
      <w:keepNext/>
      <w:keepLines/>
      <w:spacing w:before="200" w:after="0"/>
      <w:outlineLvl w:val="7"/>
    </w:pPr>
    <w:rPr>
      <w:rFonts w:ascii="Book Antiqua" w:eastAsia="Times New Roman" w:hAnsi="Book Antiqua"/>
      <w:color w:val="404040"/>
      <w:sz w:val="20"/>
      <w:szCs w:val="20"/>
    </w:rPr>
  </w:style>
  <w:style w:type="paragraph" w:styleId="Heading9">
    <w:name w:val="heading 9"/>
    <w:basedOn w:val="Normal"/>
    <w:next w:val="Normal"/>
    <w:link w:val="Heading9Char"/>
    <w:uiPriority w:val="9"/>
    <w:qFormat/>
    <w:rsid w:val="00A353A2"/>
    <w:pPr>
      <w:keepNext/>
      <w:keepLines/>
      <w:spacing w:before="200" w:after="0"/>
      <w:outlineLvl w:val="8"/>
    </w:pPr>
    <w:rPr>
      <w:rFonts w:ascii="Book Antiqua" w:eastAsia="Times New Roman" w:hAnsi="Book Antiqu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A353A2"/>
    <w:pPr>
      <w:ind w:firstLine="720"/>
    </w:pPr>
  </w:style>
  <w:style w:type="character" w:customStyle="1" w:styleId="BodyTextChar">
    <w:name w:val="Body Text Char"/>
    <w:basedOn w:val="DefaultParagraphFont"/>
    <w:link w:val="BodyText"/>
    <w:rsid w:val="00A353A2"/>
  </w:style>
  <w:style w:type="paragraph" w:customStyle="1" w:styleId="Comment">
    <w:name w:val="Comment"/>
    <w:basedOn w:val="Normal"/>
    <w:next w:val="Normal"/>
    <w:qFormat/>
    <w:rsid w:val="00A353A2"/>
    <w:rPr>
      <w:rFonts w:ascii="Arial" w:hAnsi="Arial"/>
      <w:vanish/>
      <w:color w:val="FF33CC"/>
    </w:rPr>
  </w:style>
  <w:style w:type="paragraph" w:customStyle="1" w:styleId="Definitions">
    <w:name w:val="Definitions"/>
    <w:basedOn w:val="Normal"/>
    <w:qFormat/>
    <w:rsid w:val="00A353A2"/>
    <w:pPr>
      <w:ind w:left="720"/>
    </w:pPr>
  </w:style>
  <w:style w:type="paragraph" w:styleId="Footer">
    <w:name w:val="footer"/>
    <w:basedOn w:val="Normal"/>
    <w:link w:val="FooterChar"/>
    <w:uiPriority w:val="99"/>
    <w:unhideWhenUsed/>
    <w:rsid w:val="00A353A2"/>
    <w:rPr>
      <w:sz w:val="18"/>
    </w:rPr>
  </w:style>
  <w:style w:type="character" w:customStyle="1" w:styleId="FooterChar">
    <w:name w:val="Footer Char"/>
    <w:link w:val="Footer"/>
    <w:uiPriority w:val="99"/>
    <w:rsid w:val="00A353A2"/>
    <w:rPr>
      <w:sz w:val="18"/>
    </w:rPr>
  </w:style>
  <w:style w:type="paragraph" w:styleId="FootnoteText">
    <w:name w:val="footnote text"/>
    <w:basedOn w:val="Normal"/>
    <w:link w:val="FootnoteTextChar"/>
    <w:uiPriority w:val="99"/>
    <w:unhideWhenUsed/>
    <w:rsid w:val="00A353A2"/>
    <w:pPr>
      <w:widowControl w:val="0"/>
      <w:spacing w:after="0"/>
    </w:pPr>
    <w:rPr>
      <w:sz w:val="18"/>
      <w:szCs w:val="20"/>
    </w:rPr>
  </w:style>
  <w:style w:type="character" w:customStyle="1" w:styleId="FootnoteTextChar">
    <w:name w:val="Footnote Text Char"/>
    <w:link w:val="FootnoteText"/>
    <w:uiPriority w:val="99"/>
    <w:rsid w:val="00A353A2"/>
    <w:rPr>
      <w:sz w:val="18"/>
      <w:szCs w:val="20"/>
    </w:rPr>
  </w:style>
  <w:style w:type="paragraph" w:styleId="Header">
    <w:name w:val="header"/>
    <w:basedOn w:val="Normal"/>
    <w:link w:val="HeaderChar"/>
    <w:uiPriority w:val="99"/>
    <w:unhideWhenUsed/>
    <w:rsid w:val="00956738"/>
    <w:pPr>
      <w:spacing w:after="0"/>
    </w:pPr>
  </w:style>
  <w:style w:type="character" w:customStyle="1" w:styleId="HeaderChar">
    <w:name w:val="Header Char"/>
    <w:basedOn w:val="DefaultParagraphFont"/>
    <w:link w:val="Header"/>
    <w:uiPriority w:val="99"/>
    <w:rsid w:val="00956738"/>
  </w:style>
  <w:style w:type="character" w:customStyle="1" w:styleId="Heading1Char">
    <w:name w:val="Heading 1 Char"/>
    <w:link w:val="Heading1"/>
    <w:rsid w:val="00CD03E4"/>
    <w:rPr>
      <w:rFonts w:ascii="Book Antiqua" w:eastAsia="Times New Roman" w:hAnsi="Book Antiqua" w:cs="Times New Roman"/>
      <w:b/>
      <w:bCs/>
      <w:color w:val="000000"/>
      <w:sz w:val="24"/>
      <w:szCs w:val="28"/>
    </w:rPr>
  </w:style>
  <w:style w:type="character" w:customStyle="1" w:styleId="Heading2Char">
    <w:name w:val="Heading 2 Char"/>
    <w:link w:val="Heading2"/>
    <w:rsid w:val="00CD03E4"/>
    <w:rPr>
      <w:rFonts w:ascii="Book Antiqua" w:eastAsia="Times New Roman" w:hAnsi="Book Antiqua" w:cs="Times New Roman"/>
      <w:b/>
      <w:bCs/>
      <w:color w:val="000000"/>
      <w:szCs w:val="26"/>
    </w:rPr>
  </w:style>
  <w:style w:type="character" w:customStyle="1" w:styleId="Heading3Char">
    <w:name w:val="Heading 3 Char"/>
    <w:link w:val="Heading3"/>
    <w:rsid w:val="00CD03E4"/>
    <w:rPr>
      <w:rFonts w:ascii="Book Antiqua" w:eastAsia="Times New Roman" w:hAnsi="Book Antiqua" w:cs="Times New Roman"/>
      <w:bCs/>
      <w:color w:val="000000"/>
    </w:rPr>
  </w:style>
  <w:style w:type="paragraph" w:customStyle="1" w:styleId="LawyersComments">
    <w:name w:val="Lawyers Comments"/>
    <w:basedOn w:val="Normal"/>
    <w:qFormat/>
    <w:rsid w:val="00A353A2"/>
    <w:pPr>
      <w:spacing w:after="120"/>
      <w:ind w:left="720" w:right="720"/>
    </w:pPr>
    <w:rPr>
      <w:i/>
      <w:vanish/>
      <w:color w:val="C00000"/>
      <w:sz w:val="20"/>
    </w:rPr>
  </w:style>
  <w:style w:type="paragraph" w:customStyle="1" w:styleId="Lnum1">
    <w:name w:val="Lnum1"/>
    <w:basedOn w:val="Normal"/>
    <w:uiPriority w:val="99"/>
    <w:unhideWhenUsed/>
    <w:rsid w:val="00A353A2"/>
    <w:pPr>
      <w:numPr>
        <w:ilvl w:val="6"/>
        <w:numId w:val="3"/>
      </w:numPr>
    </w:pPr>
  </w:style>
  <w:style w:type="paragraph" w:customStyle="1" w:styleId="Lnum2">
    <w:name w:val="Lnum2"/>
    <w:basedOn w:val="Normal"/>
    <w:uiPriority w:val="99"/>
    <w:unhideWhenUsed/>
    <w:rsid w:val="00A353A2"/>
    <w:pPr>
      <w:numPr>
        <w:ilvl w:val="7"/>
        <w:numId w:val="3"/>
      </w:numPr>
    </w:pPr>
  </w:style>
  <w:style w:type="paragraph" w:customStyle="1" w:styleId="Lnum3">
    <w:name w:val="Lnum3"/>
    <w:basedOn w:val="Normal"/>
    <w:uiPriority w:val="99"/>
    <w:unhideWhenUsed/>
    <w:rsid w:val="00A353A2"/>
    <w:pPr>
      <w:numPr>
        <w:ilvl w:val="8"/>
        <w:numId w:val="3"/>
      </w:numPr>
    </w:pPr>
  </w:style>
  <w:style w:type="paragraph" w:styleId="NoSpacing">
    <w:name w:val="No Spacing"/>
    <w:link w:val="NoSpacingChar"/>
    <w:uiPriority w:val="1"/>
    <w:qFormat/>
    <w:rsid w:val="00A353A2"/>
    <w:pPr>
      <w:jc w:val="both"/>
    </w:pPr>
    <w:rPr>
      <w:sz w:val="22"/>
      <w:szCs w:val="22"/>
    </w:rPr>
  </w:style>
  <w:style w:type="character" w:customStyle="1" w:styleId="Heading4Char">
    <w:name w:val="Heading 4 Char"/>
    <w:link w:val="Heading4"/>
    <w:uiPriority w:val="9"/>
    <w:semiHidden/>
    <w:rsid w:val="00A353A2"/>
    <w:rPr>
      <w:rFonts w:ascii="Book Antiqua" w:eastAsia="Times New Roman" w:hAnsi="Book Antiqua" w:cs="Times New Roman"/>
      <w:b/>
      <w:bCs/>
      <w:i/>
      <w:iCs/>
      <w:color w:val="000000"/>
    </w:rPr>
  </w:style>
  <w:style w:type="character" w:customStyle="1" w:styleId="Heading5Char">
    <w:name w:val="Heading 5 Char"/>
    <w:link w:val="Heading5"/>
    <w:uiPriority w:val="9"/>
    <w:semiHidden/>
    <w:rsid w:val="00A353A2"/>
    <w:rPr>
      <w:rFonts w:ascii="Book Antiqua" w:eastAsia="Times New Roman" w:hAnsi="Book Antiqua" w:cs="Times New Roman"/>
      <w:color w:val="000000"/>
    </w:rPr>
  </w:style>
  <w:style w:type="character" w:customStyle="1" w:styleId="Heading6Char">
    <w:name w:val="Heading 6 Char"/>
    <w:link w:val="Heading6"/>
    <w:uiPriority w:val="9"/>
    <w:semiHidden/>
    <w:rsid w:val="00A353A2"/>
    <w:rPr>
      <w:rFonts w:ascii="Book Antiqua" w:eastAsia="Times New Roman" w:hAnsi="Book Antiqua" w:cs="Times New Roman"/>
      <w:i/>
      <w:iCs/>
      <w:color w:val="000000"/>
    </w:rPr>
  </w:style>
  <w:style w:type="character" w:customStyle="1" w:styleId="Heading7Char">
    <w:name w:val="Heading 7 Char"/>
    <w:link w:val="Heading7"/>
    <w:uiPriority w:val="9"/>
    <w:semiHidden/>
    <w:rsid w:val="00A353A2"/>
    <w:rPr>
      <w:rFonts w:ascii="Book Antiqua" w:eastAsia="Times New Roman" w:hAnsi="Book Antiqua" w:cs="Times New Roman"/>
      <w:i/>
      <w:iCs/>
      <w:color w:val="404040"/>
    </w:rPr>
  </w:style>
  <w:style w:type="character" w:customStyle="1" w:styleId="Heading8Char">
    <w:name w:val="Heading 8 Char"/>
    <w:link w:val="Heading8"/>
    <w:uiPriority w:val="9"/>
    <w:semiHidden/>
    <w:rsid w:val="00A353A2"/>
    <w:rPr>
      <w:rFonts w:ascii="Book Antiqua" w:eastAsia="Times New Roman" w:hAnsi="Book Antiqua" w:cs="Times New Roman"/>
      <w:color w:val="404040"/>
      <w:sz w:val="20"/>
      <w:szCs w:val="20"/>
    </w:rPr>
  </w:style>
  <w:style w:type="character" w:customStyle="1" w:styleId="Heading9Char">
    <w:name w:val="Heading 9 Char"/>
    <w:link w:val="Heading9"/>
    <w:uiPriority w:val="9"/>
    <w:semiHidden/>
    <w:rsid w:val="00A353A2"/>
    <w:rPr>
      <w:rFonts w:ascii="Book Antiqua" w:eastAsia="Times New Roman" w:hAnsi="Book Antiqua" w:cs="Times New Roman"/>
      <w:i/>
      <w:iCs/>
      <w:color w:val="404040"/>
      <w:sz w:val="20"/>
      <w:szCs w:val="20"/>
    </w:rPr>
  </w:style>
  <w:style w:type="paragraph" w:styleId="Caption">
    <w:name w:val="caption"/>
    <w:basedOn w:val="Normal"/>
    <w:next w:val="Normal"/>
    <w:uiPriority w:val="35"/>
    <w:qFormat/>
    <w:rsid w:val="00A353A2"/>
    <w:rPr>
      <w:b/>
      <w:bCs/>
      <w:color w:val="000000"/>
      <w:sz w:val="18"/>
      <w:szCs w:val="18"/>
    </w:rPr>
  </w:style>
  <w:style w:type="paragraph" w:styleId="Title">
    <w:name w:val="Title"/>
    <w:basedOn w:val="Normal"/>
    <w:next w:val="Normal"/>
    <w:link w:val="TitleChar"/>
    <w:uiPriority w:val="10"/>
    <w:qFormat/>
    <w:rsid w:val="00A353A2"/>
    <w:pPr>
      <w:keepNext/>
      <w:jc w:val="center"/>
    </w:pPr>
    <w:rPr>
      <w:rFonts w:eastAsia="Times New Roman"/>
      <w:b/>
      <w:spacing w:val="5"/>
      <w:kern w:val="28"/>
      <w:sz w:val="28"/>
      <w:szCs w:val="52"/>
    </w:rPr>
  </w:style>
  <w:style w:type="character" w:customStyle="1" w:styleId="TitleChar">
    <w:name w:val="Title Char"/>
    <w:link w:val="Title"/>
    <w:uiPriority w:val="10"/>
    <w:rsid w:val="00A353A2"/>
    <w:rPr>
      <w:rFonts w:eastAsia="Times New Roman" w:cs="Times New Roman"/>
      <w:b/>
      <w:spacing w:val="5"/>
      <w:kern w:val="28"/>
      <w:sz w:val="28"/>
      <w:szCs w:val="52"/>
    </w:rPr>
  </w:style>
  <w:style w:type="paragraph" w:styleId="Subtitle">
    <w:name w:val="Subtitle"/>
    <w:basedOn w:val="Normal"/>
    <w:next w:val="Normal"/>
    <w:link w:val="SubtitleChar"/>
    <w:uiPriority w:val="11"/>
    <w:qFormat/>
    <w:rsid w:val="00A353A2"/>
    <w:pPr>
      <w:keepNext/>
      <w:numPr>
        <w:ilvl w:val="1"/>
      </w:numPr>
      <w:spacing w:after="120"/>
      <w:outlineLvl w:val="1"/>
    </w:pPr>
    <w:rPr>
      <w:rFonts w:eastAsia="Times New Roman"/>
      <w:b/>
      <w:iCs/>
      <w:spacing w:val="15"/>
      <w:szCs w:val="24"/>
    </w:rPr>
  </w:style>
  <w:style w:type="character" w:customStyle="1" w:styleId="SubtitleChar">
    <w:name w:val="Subtitle Char"/>
    <w:link w:val="Subtitle"/>
    <w:uiPriority w:val="11"/>
    <w:rsid w:val="00A353A2"/>
    <w:rPr>
      <w:rFonts w:eastAsia="Times New Roman" w:cs="Times New Roman"/>
      <w:b/>
      <w:iCs/>
      <w:spacing w:val="15"/>
      <w:szCs w:val="24"/>
    </w:rPr>
  </w:style>
  <w:style w:type="character" w:styleId="Strong">
    <w:name w:val="Strong"/>
    <w:uiPriority w:val="22"/>
    <w:qFormat/>
    <w:rsid w:val="00A353A2"/>
    <w:rPr>
      <w:b/>
      <w:bCs/>
    </w:rPr>
  </w:style>
  <w:style w:type="character" w:styleId="Emphasis">
    <w:name w:val="Emphasis"/>
    <w:uiPriority w:val="20"/>
    <w:qFormat/>
    <w:rsid w:val="00A353A2"/>
    <w:rPr>
      <w:i/>
      <w:iCs/>
    </w:rPr>
  </w:style>
  <w:style w:type="character" w:customStyle="1" w:styleId="NoSpacingChar">
    <w:name w:val="No Spacing Char"/>
    <w:basedOn w:val="DefaultParagraphFont"/>
    <w:link w:val="NoSpacing"/>
    <w:uiPriority w:val="1"/>
    <w:rsid w:val="00A353A2"/>
  </w:style>
  <w:style w:type="paragraph" w:styleId="ListParagraph">
    <w:name w:val="List Paragraph"/>
    <w:basedOn w:val="Normal"/>
    <w:uiPriority w:val="34"/>
    <w:qFormat/>
    <w:rsid w:val="00A353A2"/>
    <w:pPr>
      <w:ind w:left="720"/>
      <w:contextualSpacing/>
    </w:pPr>
  </w:style>
  <w:style w:type="paragraph" w:styleId="Quote">
    <w:name w:val="Quote"/>
    <w:basedOn w:val="Normal"/>
    <w:next w:val="Normal"/>
    <w:link w:val="QuoteChar"/>
    <w:uiPriority w:val="29"/>
    <w:qFormat/>
    <w:rsid w:val="00A353A2"/>
    <w:pPr>
      <w:ind w:left="1440" w:right="1440"/>
    </w:pPr>
    <w:rPr>
      <w:i/>
      <w:iCs/>
      <w:color w:val="000000"/>
    </w:rPr>
  </w:style>
  <w:style w:type="character" w:customStyle="1" w:styleId="QuoteChar">
    <w:name w:val="Quote Char"/>
    <w:link w:val="Quote"/>
    <w:uiPriority w:val="29"/>
    <w:rsid w:val="00A353A2"/>
    <w:rPr>
      <w:i/>
      <w:iCs/>
      <w:color w:val="000000"/>
    </w:rPr>
  </w:style>
  <w:style w:type="paragraph" w:styleId="IntenseQuote">
    <w:name w:val="Intense Quote"/>
    <w:basedOn w:val="Normal"/>
    <w:next w:val="Normal"/>
    <w:link w:val="IntenseQuoteChar"/>
    <w:uiPriority w:val="30"/>
    <w:qFormat/>
    <w:rsid w:val="00A353A2"/>
    <w:pPr>
      <w:pBdr>
        <w:bottom w:val="single" w:sz="4" w:space="4" w:color="000000"/>
      </w:pBdr>
      <w:spacing w:before="200" w:after="280"/>
      <w:ind w:left="936" w:right="936"/>
    </w:pPr>
    <w:rPr>
      <w:b/>
      <w:bCs/>
      <w:i/>
      <w:iCs/>
      <w:color w:val="000000"/>
    </w:rPr>
  </w:style>
  <w:style w:type="character" w:customStyle="1" w:styleId="IntenseQuoteChar">
    <w:name w:val="Intense Quote Char"/>
    <w:link w:val="IntenseQuote"/>
    <w:uiPriority w:val="30"/>
    <w:rsid w:val="00A353A2"/>
    <w:rPr>
      <w:b/>
      <w:bCs/>
      <w:i/>
      <w:iCs/>
      <w:color w:val="000000"/>
    </w:rPr>
  </w:style>
  <w:style w:type="character" w:styleId="SubtleEmphasis">
    <w:name w:val="Subtle Emphasis"/>
    <w:uiPriority w:val="19"/>
    <w:qFormat/>
    <w:rsid w:val="00A353A2"/>
    <w:rPr>
      <w:i/>
      <w:iCs/>
      <w:color w:val="808080"/>
    </w:rPr>
  </w:style>
  <w:style w:type="character" w:styleId="IntenseEmphasis">
    <w:name w:val="Intense Emphasis"/>
    <w:uiPriority w:val="21"/>
    <w:qFormat/>
    <w:rsid w:val="00A353A2"/>
    <w:rPr>
      <w:b/>
      <w:bCs/>
      <w:i/>
      <w:iCs/>
      <w:color w:val="000000"/>
    </w:rPr>
  </w:style>
  <w:style w:type="character" w:styleId="SubtleReference">
    <w:name w:val="Subtle Reference"/>
    <w:uiPriority w:val="31"/>
    <w:qFormat/>
    <w:rsid w:val="00A353A2"/>
    <w:rPr>
      <w:smallCaps/>
      <w:color w:val="C0504D"/>
      <w:u w:val="single"/>
    </w:rPr>
  </w:style>
  <w:style w:type="character" w:styleId="IntenseReference">
    <w:name w:val="Intense Reference"/>
    <w:uiPriority w:val="32"/>
    <w:qFormat/>
    <w:rsid w:val="00A353A2"/>
    <w:rPr>
      <w:b/>
      <w:bCs/>
      <w:smallCaps/>
      <w:color w:val="C0504D"/>
      <w:spacing w:val="5"/>
      <w:u w:val="single"/>
    </w:rPr>
  </w:style>
  <w:style w:type="character" w:styleId="BookTitle">
    <w:name w:val="Book Title"/>
    <w:uiPriority w:val="33"/>
    <w:qFormat/>
    <w:rsid w:val="00A353A2"/>
    <w:rPr>
      <w:b/>
      <w:bCs/>
      <w:smallCaps/>
      <w:spacing w:val="5"/>
    </w:rPr>
  </w:style>
  <w:style w:type="paragraph" w:styleId="TOCHeading">
    <w:name w:val="TOC Heading"/>
    <w:basedOn w:val="Heading1"/>
    <w:next w:val="Normal"/>
    <w:uiPriority w:val="39"/>
    <w:qFormat/>
    <w:rsid w:val="00A353A2"/>
    <w:pPr>
      <w:keepLines/>
      <w:spacing w:before="480" w:after="0"/>
      <w:outlineLvl w:val="9"/>
    </w:pPr>
    <w:rPr>
      <w:sz w:val="28"/>
    </w:rPr>
  </w:style>
  <w:style w:type="paragraph" w:customStyle="1" w:styleId="Outline1">
    <w:name w:val="Outline1"/>
    <w:basedOn w:val="Normal"/>
    <w:qFormat/>
    <w:rsid w:val="00A353A2"/>
    <w:pPr>
      <w:numPr>
        <w:numId w:val="3"/>
      </w:numPr>
    </w:pPr>
  </w:style>
  <w:style w:type="paragraph" w:customStyle="1" w:styleId="Outline2">
    <w:name w:val="Outline2"/>
    <w:basedOn w:val="Normal"/>
    <w:qFormat/>
    <w:rsid w:val="00A353A2"/>
    <w:pPr>
      <w:numPr>
        <w:ilvl w:val="1"/>
        <w:numId w:val="3"/>
      </w:numPr>
    </w:pPr>
  </w:style>
  <w:style w:type="paragraph" w:styleId="List2">
    <w:name w:val="List 2"/>
    <w:basedOn w:val="Normal"/>
    <w:uiPriority w:val="99"/>
    <w:semiHidden/>
    <w:unhideWhenUsed/>
    <w:rsid w:val="00A353A2"/>
    <w:pPr>
      <w:ind w:left="720" w:hanging="360"/>
      <w:contextualSpacing/>
    </w:pPr>
  </w:style>
  <w:style w:type="paragraph" w:customStyle="1" w:styleId="Outline3">
    <w:name w:val="Outline3"/>
    <w:basedOn w:val="Normal"/>
    <w:qFormat/>
    <w:rsid w:val="00A353A2"/>
    <w:pPr>
      <w:numPr>
        <w:ilvl w:val="2"/>
        <w:numId w:val="3"/>
      </w:numPr>
    </w:pPr>
  </w:style>
  <w:style w:type="paragraph" w:styleId="List3">
    <w:name w:val="List 3"/>
    <w:basedOn w:val="Normal"/>
    <w:uiPriority w:val="99"/>
    <w:semiHidden/>
    <w:unhideWhenUsed/>
    <w:rsid w:val="00A353A2"/>
    <w:pPr>
      <w:ind w:left="1080" w:hanging="360"/>
      <w:contextualSpacing/>
    </w:pPr>
  </w:style>
  <w:style w:type="paragraph" w:styleId="ListNumber3">
    <w:name w:val="List Number 3"/>
    <w:basedOn w:val="Normal"/>
    <w:uiPriority w:val="99"/>
    <w:semiHidden/>
    <w:unhideWhenUsed/>
    <w:rsid w:val="00A353A2"/>
    <w:pPr>
      <w:numPr>
        <w:numId w:val="1"/>
      </w:numPr>
      <w:contextualSpacing/>
    </w:pPr>
  </w:style>
  <w:style w:type="paragraph" w:customStyle="1" w:styleId="Outline4">
    <w:name w:val="Outline4"/>
    <w:basedOn w:val="Normal"/>
    <w:qFormat/>
    <w:rsid w:val="00A353A2"/>
    <w:pPr>
      <w:numPr>
        <w:ilvl w:val="3"/>
        <w:numId w:val="3"/>
      </w:numPr>
    </w:pPr>
  </w:style>
  <w:style w:type="paragraph" w:styleId="List4">
    <w:name w:val="List 4"/>
    <w:basedOn w:val="Normal"/>
    <w:uiPriority w:val="99"/>
    <w:semiHidden/>
    <w:unhideWhenUsed/>
    <w:rsid w:val="00A353A2"/>
    <w:pPr>
      <w:ind w:left="1440" w:hanging="360"/>
      <w:contextualSpacing/>
    </w:pPr>
  </w:style>
  <w:style w:type="paragraph" w:customStyle="1" w:styleId="Outline5">
    <w:name w:val="Outline5"/>
    <w:basedOn w:val="Normal"/>
    <w:qFormat/>
    <w:rsid w:val="00A353A2"/>
    <w:pPr>
      <w:numPr>
        <w:ilvl w:val="4"/>
        <w:numId w:val="3"/>
      </w:numPr>
    </w:pPr>
  </w:style>
  <w:style w:type="paragraph" w:styleId="List5">
    <w:name w:val="List 5"/>
    <w:basedOn w:val="Normal"/>
    <w:uiPriority w:val="99"/>
    <w:semiHidden/>
    <w:unhideWhenUsed/>
    <w:rsid w:val="00A353A2"/>
    <w:pPr>
      <w:ind w:left="1800" w:hanging="360"/>
      <w:contextualSpacing/>
    </w:pPr>
  </w:style>
  <w:style w:type="paragraph" w:customStyle="1" w:styleId="Plain">
    <w:name w:val="Plain"/>
    <w:basedOn w:val="Normal"/>
    <w:rsid w:val="00A353A2"/>
    <w:pPr>
      <w:spacing w:after="0"/>
    </w:pPr>
  </w:style>
  <w:style w:type="character" w:customStyle="1" w:styleId="Prompt">
    <w:name w:val="Prompt"/>
    <w:rsid w:val="00A353A2"/>
    <w:rPr>
      <w:color w:val="002060"/>
    </w:rPr>
  </w:style>
  <w:style w:type="paragraph" w:customStyle="1" w:styleId="ReLine">
    <w:name w:val="Re:Line"/>
    <w:basedOn w:val="Normal"/>
    <w:next w:val="Normal"/>
    <w:rsid w:val="00A353A2"/>
    <w:pPr>
      <w:ind w:left="2880" w:right="1440" w:hanging="720"/>
    </w:pPr>
    <w:rPr>
      <w:b/>
    </w:rPr>
  </w:style>
  <w:style w:type="character" w:customStyle="1" w:styleId="SEBold">
    <w:name w:val="SE_Bold"/>
    <w:rsid w:val="00A353A2"/>
    <w:rPr>
      <w:b/>
    </w:rPr>
  </w:style>
  <w:style w:type="character" w:customStyle="1" w:styleId="SEItalic">
    <w:name w:val="SE_Italic"/>
    <w:rsid w:val="00A353A2"/>
    <w:rPr>
      <w:i/>
    </w:rPr>
  </w:style>
  <w:style w:type="character" w:customStyle="1" w:styleId="SEUnderline">
    <w:name w:val="SE_Underline"/>
    <w:qFormat/>
    <w:rsid w:val="00A353A2"/>
    <w:rPr>
      <w:u w:val="single"/>
    </w:rPr>
  </w:style>
  <w:style w:type="character" w:customStyle="1" w:styleId="SEBoldUnderline">
    <w:name w:val="SE_BoldUnderline"/>
    <w:qFormat/>
    <w:rsid w:val="00A353A2"/>
    <w:rPr>
      <w:b/>
      <w:u w:val="single"/>
    </w:rPr>
  </w:style>
  <w:style w:type="character" w:customStyle="1" w:styleId="SEBoldItalics">
    <w:name w:val="SE_BoldItalics"/>
    <w:qFormat/>
    <w:rsid w:val="00A353A2"/>
    <w:rPr>
      <w:b/>
      <w:i/>
    </w:rPr>
  </w:style>
  <w:style w:type="paragraph" w:customStyle="1" w:styleId="SEColourStyle">
    <w:name w:val="SE Colour Style"/>
    <w:basedOn w:val="Normal"/>
    <w:link w:val="SEColourStyleChar"/>
    <w:uiPriority w:val="36"/>
    <w:unhideWhenUsed/>
    <w:rsid w:val="00A353A2"/>
  </w:style>
  <w:style w:type="character" w:customStyle="1" w:styleId="SEColourStyleChar">
    <w:name w:val="SE Colour Style Char"/>
    <w:basedOn w:val="DefaultParagraphFont"/>
    <w:link w:val="SEColourStyle"/>
    <w:uiPriority w:val="36"/>
    <w:rsid w:val="00A353A2"/>
  </w:style>
  <w:style w:type="paragraph" w:customStyle="1" w:styleId="PersonalName">
    <w:name w:val="Personal Name"/>
    <w:basedOn w:val="Title"/>
    <w:link w:val="PersonalNameChar"/>
    <w:uiPriority w:val="99"/>
    <w:rsid w:val="00A353A2"/>
    <w:rPr>
      <w:b w:val="0"/>
      <w:caps/>
      <w:color w:val="000000"/>
      <w:szCs w:val="28"/>
    </w:rPr>
  </w:style>
  <w:style w:type="character" w:customStyle="1" w:styleId="PersonalNameChar">
    <w:name w:val="Personal Name Char"/>
    <w:link w:val="PersonalName"/>
    <w:uiPriority w:val="99"/>
    <w:rsid w:val="00A353A2"/>
    <w:rPr>
      <w:rFonts w:eastAsia="Times New Roman" w:cs="Times New Roman"/>
      <w:b w:val="0"/>
      <w:caps/>
      <w:color w:val="000000"/>
      <w:spacing w:val="5"/>
      <w:kern w:val="28"/>
      <w:sz w:val="28"/>
      <w:szCs w:val="28"/>
    </w:rPr>
  </w:style>
  <w:style w:type="paragraph" w:styleId="ListNumber5">
    <w:name w:val="List Number 5"/>
    <w:basedOn w:val="Normal"/>
    <w:uiPriority w:val="99"/>
    <w:semiHidden/>
    <w:unhideWhenUsed/>
    <w:rsid w:val="00A353A2"/>
    <w:pPr>
      <w:numPr>
        <w:numId w:val="2"/>
      </w:numPr>
      <w:contextualSpacing/>
    </w:pPr>
  </w:style>
  <w:style w:type="paragraph" w:styleId="TOAHeading">
    <w:name w:val="toa heading"/>
    <w:basedOn w:val="Normal"/>
    <w:next w:val="Normal"/>
    <w:uiPriority w:val="99"/>
    <w:unhideWhenUsed/>
    <w:rsid w:val="00E8161F"/>
    <w:pPr>
      <w:spacing w:before="120"/>
    </w:pPr>
    <w:rPr>
      <w:rFonts w:eastAsia="Times New Roman"/>
      <w:b/>
      <w:bCs/>
      <w:szCs w:val="24"/>
    </w:rPr>
  </w:style>
  <w:style w:type="paragraph" w:customStyle="1" w:styleId="Outline6">
    <w:name w:val="Outline6"/>
    <w:basedOn w:val="Normal"/>
    <w:qFormat/>
    <w:rsid w:val="007F4135"/>
    <w:pPr>
      <w:numPr>
        <w:ilvl w:val="5"/>
        <w:numId w:val="3"/>
      </w:numPr>
    </w:pPr>
  </w:style>
  <w:style w:type="paragraph" w:styleId="BalloonText">
    <w:name w:val="Balloon Text"/>
    <w:basedOn w:val="Normal"/>
    <w:link w:val="BalloonTextChar"/>
    <w:uiPriority w:val="99"/>
    <w:semiHidden/>
    <w:unhideWhenUsed/>
    <w:rsid w:val="006977B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77BC"/>
    <w:rPr>
      <w:rFonts w:ascii="Tahoma" w:eastAsia="Calibri" w:hAnsi="Tahoma" w:cs="Tahoma"/>
      <w:sz w:val="16"/>
      <w:szCs w:val="16"/>
    </w:rPr>
  </w:style>
  <w:style w:type="paragraph" w:customStyle="1" w:styleId="HangingIndent">
    <w:name w:val="Hanging Indent"/>
    <w:aliases w:val="HG1"/>
    <w:basedOn w:val="Normal"/>
    <w:qFormat/>
    <w:rsid w:val="00CB0687"/>
    <w:pPr>
      <w:ind w:left="720" w:hanging="720"/>
      <w:jc w:val="both"/>
    </w:pPr>
  </w:style>
  <w:style w:type="character" w:styleId="FootnoteReference">
    <w:name w:val="footnote reference"/>
    <w:unhideWhenUsed/>
    <w:rsid w:val="00A9704C"/>
    <w:rPr>
      <w:vertAlign w:val="superscript"/>
    </w:rPr>
  </w:style>
  <w:style w:type="paragraph" w:customStyle="1" w:styleId="HangingIndent2">
    <w:name w:val="Hanging Indent 2"/>
    <w:aliases w:val="HG2"/>
    <w:basedOn w:val="Normal"/>
    <w:qFormat/>
    <w:rsid w:val="00233686"/>
    <w:pPr>
      <w:ind w:left="1440" w:hanging="720"/>
      <w:jc w:val="both"/>
    </w:pPr>
  </w:style>
  <w:style w:type="paragraph" w:customStyle="1" w:styleId="Default">
    <w:name w:val="Default"/>
    <w:rsid w:val="00D27B14"/>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EC5D4A"/>
    <w:rPr>
      <w:sz w:val="16"/>
      <w:szCs w:val="16"/>
    </w:rPr>
  </w:style>
  <w:style w:type="paragraph" w:styleId="CommentText">
    <w:name w:val="annotation text"/>
    <w:basedOn w:val="Normal"/>
    <w:link w:val="CommentTextChar"/>
    <w:uiPriority w:val="99"/>
    <w:unhideWhenUsed/>
    <w:rsid w:val="00EC5D4A"/>
    <w:rPr>
      <w:sz w:val="20"/>
      <w:szCs w:val="20"/>
    </w:rPr>
  </w:style>
  <w:style w:type="character" w:customStyle="1" w:styleId="CommentTextChar">
    <w:name w:val="Comment Text Char"/>
    <w:link w:val="CommentText"/>
    <w:uiPriority w:val="99"/>
    <w:rsid w:val="00EC5D4A"/>
    <w:rPr>
      <w:rFonts w:ascii="Times New Roman" w:eastAsia="Calibri" w:hAnsi="Times New Roman"/>
    </w:rPr>
  </w:style>
  <w:style w:type="paragraph" w:styleId="CommentSubject">
    <w:name w:val="annotation subject"/>
    <w:basedOn w:val="CommentText"/>
    <w:next w:val="CommentText"/>
    <w:link w:val="CommentSubjectChar"/>
    <w:uiPriority w:val="99"/>
    <w:semiHidden/>
    <w:unhideWhenUsed/>
    <w:rsid w:val="00EC5D4A"/>
    <w:rPr>
      <w:b/>
      <w:bCs/>
    </w:rPr>
  </w:style>
  <w:style w:type="character" w:customStyle="1" w:styleId="CommentSubjectChar">
    <w:name w:val="Comment Subject Char"/>
    <w:link w:val="CommentSubject"/>
    <w:uiPriority w:val="99"/>
    <w:semiHidden/>
    <w:rsid w:val="00EC5D4A"/>
    <w:rPr>
      <w:rFonts w:ascii="Times New Roman" w:eastAsia="Calibri" w:hAnsi="Times New Roman"/>
      <w:b/>
      <w:bCs/>
    </w:rPr>
  </w:style>
  <w:style w:type="paragraph" w:styleId="NormalWeb">
    <w:name w:val="Normal (Web)"/>
    <w:basedOn w:val="Normal"/>
    <w:uiPriority w:val="99"/>
    <w:semiHidden/>
    <w:unhideWhenUsed/>
    <w:rsid w:val="00A33AC5"/>
    <w:rPr>
      <w:szCs w:val="24"/>
    </w:rPr>
  </w:style>
  <w:style w:type="paragraph" w:customStyle="1" w:styleId="DocsID">
    <w:name w:val="DocsID"/>
    <w:basedOn w:val="Normal"/>
    <w:rsid w:val="00D50284"/>
    <w:pPr>
      <w:spacing w:before="20" w:after="0" w:line="240" w:lineRule="auto"/>
    </w:pPr>
    <w:rPr>
      <w:rFonts w:eastAsia="Times New Roman"/>
      <w:color w:val="000000"/>
      <w:sz w:val="12"/>
      <w:szCs w:val="12"/>
      <w:lang w:val="en-CA"/>
    </w:rPr>
  </w:style>
  <w:style w:type="paragraph" w:styleId="Revision">
    <w:name w:val="Revision"/>
    <w:hidden/>
    <w:uiPriority w:val="99"/>
    <w:semiHidden/>
    <w:rsid w:val="00B55AE3"/>
    <w:rPr>
      <w:rFonts w:ascii="Times New Roman" w:eastAsia="Calibri" w:hAnsi="Times New Roman"/>
      <w:sz w:val="24"/>
      <w:szCs w:val="22"/>
    </w:rPr>
  </w:style>
  <w:style w:type="paragraph" w:customStyle="1" w:styleId="AODocTxt">
    <w:name w:val="AODocTxt"/>
    <w:basedOn w:val="Normal"/>
    <w:rsid w:val="00727F64"/>
    <w:pPr>
      <w:spacing w:before="240" w:after="0" w:line="260" w:lineRule="atLeast"/>
      <w:jc w:val="both"/>
    </w:pPr>
    <w:rPr>
      <w:rFonts w:eastAsia="SimSun"/>
      <w:sz w:val="22"/>
      <w:lang w:val="en-GB"/>
    </w:rPr>
  </w:style>
  <w:style w:type="table" w:styleId="TableGrid">
    <w:name w:val="Table Grid"/>
    <w:basedOn w:val="TableNormal"/>
    <w:rsid w:val="008759E0"/>
    <w:rPr>
      <w:rFonts w:ascii="Times New Roman" w:eastAsiaTheme="minorEastAsia" w:hAnsi="Times New Roman"/>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7375"/>
    <w:rPr>
      <w:color w:val="666666"/>
    </w:rPr>
  </w:style>
  <w:style w:type="character" w:styleId="Hyperlink">
    <w:name w:val="Hyperlink"/>
    <w:basedOn w:val="DefaultParagraphFont"/>
    <w:uiPriority w:val="99"/>
    <w:unhideWhenUsed/>
    <w:rsid w:val="0049438E"/>
    <w:rPr>
      <w:color w:val="0563C1" w:themeColor="hyperlink"/>
      <w:u w:val="single"/>
    </w:rPr>
  </w:style>
  <w:style w:type="character" w:styleId="UnresolvedMention">
    <w:name w:val="Unresolved Mention"/>
    <w:basedOn w:val="DefaultParagraphFont"/>
    <w:uiPriority w:val="99"/>
    <w:rsid w:val="0049438E"/>
    <w:rPr>
      <w:color w:val="605E5C"/>
      <w:shd w:val="clear" w:color="auto" w:fill="E1DFDD"/>
    </w:rPr>
  </w:style>
  <w:style w:type="character" w:styleId="FollowedHyperlink">
    <w:name w:val="FollowedHyperlink"/>
    <w:basedOn w:val="DefaultParagraphFont"/>
    <w:uiPriority w:val="99"/>
    <w:semiHidden/>
    <w:unhideWhenUsed/>
    <w:rsid w:val="007B68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sc.ca/sites/default/files/2024-09/csa_20240912_93-302_sn_frequently-asked-questions.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bcsc.bc.ca/-/media/PWS/New-Resources/Securities-Law/Instruments-and-Policies/BCN/BCN-202402-July-11-2024.pdf?dt=20240711150751"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sc.ca/en/securities-law/instruments-rules-policies/9/93-101/companion-policy-93-101-derivatives-business-conduc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osc.ca/sites/default/files/2024-07/csa_20240725_93-930_notice-re-coord-blanket-order.pdf" TargetMode="External"/><Relationship Id="rId1" Type="http://schemas.openxmlformats.org/officeDocument/2006/relationships/hyperlink" Target="https://www.osc.ca/sites/default/files/2024-09/csa_20240912_93-302_sn_frequently-asked-ques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 M T D O C S ! 5 2 7 1 0 7 8 6 . 4 < / d o c u m e n t i d >  
     < s e n d e r i d > C P A L L O N E < / s e n d e r i d >  
     < s e n d e r e m a i l > C P A L L O N E @ M C C A R T H Y . C A < / s e n d e r e m a i l >  
     < l a s t m o d i f i e d > 2 0 2 4 - 1 1 - 2 9 T 1 2 : 2 2 : 0 0 . 0 0 0 0 0 0 0 - 0 5 : 0 0 < / l a s t m o d i f i e d >  
     < d a t a b a s e > M T D O C S < / d a t a b a s e >  
 < / 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roperties xmlns="http://www.imanage.com/work/xmlschema">
  <documentid>LEGAL_1!89338566.8</documentid>
  <senderid>DARYA</senderid>
  <senderemail>DARYA@OSLER.COM</senderemail>
  <lastmodified>2025-01-29T12:33:00.0000000-05:00</lastmodified>
  <database>LEGAL_1</database>
</properties>
</file>

<file path=customXml/itemProps1.xml><?xml version="1.0" encoding="utf-8"?>
<ds:datastoreItem xmlns:ds="http://schemas.openxmlformats.org/officeDocument/2006/customXml" ds:itemID="{88DD11A6-29A9-48D9-BF29-9950F8223718}">
  <ds:schemaRefs>
    <ds:schemaRef ds:uri="http://www.imanage.com/work/xmlschema"/>
  </ds:schemaRefs>
</ds:datastoreItem>
</file>

<file path=customXml/itemProps2.xml><?xml version="1.0" encoding="utf-8"?>
<ds:datastoreItem xmlns:ds="http://schemas.openxmlformats.org/officeDocument/2006/customXml" ds:itemID="{713E19C3-DF2F-46BB-A68C-097E892DBA0C}">
  <ds:schemaRefs>
    <ds:schemaRef ds:uri="http://schemas.openxmlformats.org/officeDocument/2006/bibliography"/>
  </ds:schemaRefs>
</ds:datastoreItem>
</file>

<file path=customXml/itemProps3.xml><?xml version="1.0" encoding="utf-8"?>
<ds:datastoreItem xmlns:ds="http://schemas.openxmlformats.org/officeDocument/2006/customXml" ds:itemID="{5C7899A2-0296-41DA-B0FA-ACC4F4EF62E8}">
  <ds:schemaRefs>
    <ds:schemaRef ds:uri="http://www.imanage.com/work/xmlschema"/>
  </ds:schemaRefs>
</ds:datastoreItem>
</file>

<file path=docMetadata/LabelInfo.xml><?xml version="1.0" encoding="utf-8"?>
<clbl:labelList xmlns:clbl="http://schemas.microsoft.com/office/2020/mipLabelMetadata">
  <clbl:label id="{ab676213-c285-47a2-bc12-c9207c5e8ed8}" enabled="0" method="" siteId="{ab676213-c285-47a2-bc12-c9207c5e8ed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5777</Words>
  <Characters>32934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2025-02-18T21:07:00Z</dcterms:created>
  <dcterms:modified xsi:type="dcterms:W3CDTF">2025-02-18T21:08:00Z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CPALLONE</vt:lpwstr>
  </property>
  <property fmtid="{D5CDD505-2E9C-101B-9397-08002B2CF9AE}" pid="3" name="Client-Matter">
    <vt:lpwstr>212995-1262412</vt:lpwstr>
  </property>
  <property fmtid="{D5CDD505-2E9C-101B-9397-08002B2CF9AE}" pid="4" name="ClientName">
    <vt:lpwstr>BMO/CIBC/National Bank/RBC/BNS/TD</vt:lpwstr>
  </property>
  <property fmtid="{D5CDD505-2E9C-101B-9397-08002B2CF9AE}" pid="5" name="ClientNumber">
    <vt:lpwstr>205732</vt:lpwstr>
  </property>
  <property fmtid="{D5CDD505-2E9C-101B-9397-08002B2CF9AE}" pid="6" name="DatabaseName">
    <vt:lpwstr>MTDOCS</vt:lpwstr>
  </property>
  <property fmtid="{D5CDD505-2E9C-101B-9397-08002B2CF9AE}" pid="7" name="DOCUMENTID-SETTINGS">
    <vt:lpwstr>0</vt:lpwstr>
  </property>
  <property fmtid="{D5CDD505-2E9C-101B-9397-08002B2CF9AE}" pid="8" name="DocumentNumber">
    <vt:lpwstr>52710786</vt:lpwstr>
  </property>
  <property fmtid="{D5CDD505-2E9C-101B-9397-08002B2CF9AE}" pid="9" name="DocumentVersion">
    <vt:lpwstr>4</vt:lpwstr>
  </property>
  <property fmtid="{D5CDD505-2E9C-101B-9397-08002B2CF9AE}" pid="10" name="Draft Number">
    <vt:r8>5</vt:r8>
  </property>
  <property fmtid="{D5CDD505-2E9C-101B-9397-08002B2CF9AE}" pid="11" name="EditDate">
    <vt:lpwstr>11/29/2024 3:34:50 PM</vt:lpwstr>
  </property>
  <property fmtid="{D5CDD505-2E9C-101B-9397-08002B2CF9AE}" pid="12" name="EditTime">
    <vt:lpwstr/>
  </property>
  <property fmtid="{D5CDD505-2E9C-101B-9397-08002B2CF9AE}" pid="13" name="InUseBy">
    <vt:lpwstr>CPALLONE</vt:lpwstr>
  </property>
  <property fmtid="{D5CDD505-2E9C-101B-9397-08002B2CF9AE}" pid="14" name="IsiManageWork">
    <vt:lpwstr>True</vt:lpwstr>
  </property>
  <property fmtid="{D5CDD505-2E9C-101B-9397-08002B2CF9AE}" pid="15" name="MatterName">
    <vt:lpwstr>OTC Derivatives Project</vt:lpwstr>
  </property>
  <property fmtid="{D5CDD505-2E9C-101B-9397-08002B2CF9AE}" pid="16" name="MatterNumber">
    <vt:lpwstr>431035</vt:lpwstr>
  </property>
  <property fmtid="{D5CDD505-2E9C-101B-9397-08002B2CF9AE}" pid="17" name="SEDocID">
    <vt:lpwstr>6216374 v3</vt:lpwstr>
  </property>
  <property fmtid="{D5CDD505-2E9C-101B-9397-08002B2CF9AE}" pid="18" name="TypistName">
    <vt:lpwstr>CPALLONE</vt:lpwstr>
  </property>
  <property fmtid="{D5CDD505-2E9C-101B-9397-08002B2CF9AE}" pid="19" name="WordLXNoDocIdAutoUpdate">
    <vt:lpwstr>True</vt:lpwstr>
  </property>
  <property fmtid="{D5CDD505-2E9C-101B-9397-08002B2CF9AE}" pid="20" name="iManageFooter">
    <vt:lpwstr>#89338566v7&lt;LEGAL_1&gt; - ISDA - Annotated Canadian BCR Representation Letter (Comments - Dec Jan 27, 2025)</vt:lpwstr>
  </property>
</Properties>
</file>