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85" w:rsidRPr="00F575FF" w:rsidRDefault="005D11B0" w:rsidP="00EC2547">
      <w:pPr>
        <w:pStyle w:val="TitleCenterBold"/>
        <w:spacing w:before="240"/>
        <w:rPr>
          <w:sz w:val="22"/>
          <w:szCs w:val="22"/>
        </w:rPr>
      </w:pPr>
      <w:r w:rsidRPr="00F575FF">
        <w:rPr>
          <w:sz w:val="22"/>
          <w:szCs w:val="22"/>
        </w:rPr>
        <w:t>AGREEMENT TO AMEND CERTAIN QUALIFIED FINANCIAL CONTRACTS</w:t>
      </w:r>
      <w:r>
        <w:rPr>
          <w:rStyle w:val="FootnoteReference"/>
          <w:sz w:val="22"/>
          <w:szCs w:val="22"/>
        </w:rPr>
        <w:footnoteReference w:id="2"/>
      </w:r>
    </w:p>
    <w:p w:rsidR="00CC0BC7" w:rsidRPr="00F575FF" w:rsidRDefault="005D11B0" w:rsidP="0089231A">
      <w:pPr>
        <w:pStyle w:val="BodyText"/>
        <w:ind w:firstLine="0"/>
        <w:rPr>
          <w:sz w:val="22"/>
          <w:szCs w:val="22"/>
        </w:rPr>
      </w:pPr>
      <w:r w:rsidRPr="00F575FF">
        <w:rPr>
          <w:sz w:val="22"/>
          <w:szCs w:val="22"/>
        </w:rPr>
        <w:tab/>
        <w:t>This AGREEMENT TO AMEND CERTAIN QUALIFIED FINANCIAL CONTRACTS</w:t>
      </w:r>
      <w:r w:rsidR="00731890" w:rsidRPr="00F575FF">
        <w:rPr>
          <w:sz w:val="22"/>
          <w:szCs w:val="22"/>
        </w:rPr>
        <w:t xml:space="preserve"> (this</w:t>
      </w:r>
      <w:r w:rsidR="00CD029C" w:rsidRPr="00F575FF">
        <w:rPr>
          <w:sz w:val="22"/>
          <w:szCs w:val="22"/>
        </w:rPr>
        <w:t xml:space="preserve"> “</w:t>
      </w:r>
      <w:r w:rsidR="00CD029C" w:rsidRPr="00F575FF">
        <w:rPr>
          <w:b/>
          <w:bCs/>
          <w:sz w:val="22"/>
          <w:szCs w:val="22"/>
        </w:rPr>
        <w:t>Agreement</w:t>
      </w:r>
      <w:r w:rsidR="00CD029C" w:rsidRPr="00F575FF">
        <w:rPr>
          <w:sz w:val="22"/>
          <w:szCs w:val="22"/>
        </w:rPr>
        <w:t>”)</w:t>
      </w:r>
      <w:r w:rsidR="00606ABE" w:rsidRPr="00F575FF">
        <w:rPr>
          <w:sz w:val="22"/>
          <w:szCs w:val="22"/>
        </w:rPr>
        <w:t xml:space="preserve"> is entered into</w:t>
      </w:r>
      <w:r w:rsidRPr="00F575FF">
        <w:rPr>
          <w:sz w:val="22"/>
          <w:szCs w:val="22"/>
        </w:rPr>
        <w:t xml:space="preserve"> as of [</w:t>
      </w:r>
      <w:r w:rsidRPr="00F575FF">
        <w:rPr>
          <w:rFonts w:cs="Times New Roman"/>
          <w:sz w:val="22"/>
          <w:szCs w:val="22"/>
        </w:rPr>
        <w:t>●</w:t>
      </w:r>
      <w:r w:rsidRPr="00F575FF">
        <w:rPr>
          <w:sz w:val="22"/>
          <w:szCs w:val="22"/>
        </w:rPr>
        <w:t>], 2018</w:t>
      </w:r>
      <w:r w:rsidR="00731890" w:rsidRPr="00F575FF">
        <w:rPr>
          <w:sz w:val="22"/>
          <w:szCs w:val="22"/>
        </w:rPr>
        <w:t xml:space="preserve"> (the “</w:t>
      </w:r>
      <w:r w:rsidR="00731890" w:rsidRPr="00F575FF">
        <w:rPr>
          <w:b/>
          <w:bCs/>
          <w:sz w:val="22"/>
          <w:szCs w:val="22"/>
        </w:rPr>
        <w:t>Execution Date</w:t>
      </w:r>
      <w:r w:rsidR="00731890" w:rsidRPr="00F575FF">
        <w:rPr>
          <w:sz w:val="22"/>
          <w:szCs w:val="22"/>
        </w:rPr>
        <w:t>”)</w:t>
      </w:r>
      <w:r w:rsidR="00606ABE" w:rsidRPr="00F575FF">
        <w:rPr>
          <w:sz w:val="22"/>
          <w:szCs w:val="22"/>
        </w:rPr>
        <w:t xml:space="preserve"> </w:t>
      </w:r>
      <w:r w:rsidRPr="00F575FF">
        <w:rPr>
          <w:sz w:val="22"/>
          <w:szCs w:val="22"/>
        </w:rPr>
        <w:t>by and among [</w:t>
      </w:r>
      <w:r w:rsidR="00731890" w:rsidRPr="00F575FF">
        <w:rPr>
          <w:sz w:val="22"/>
          <w:szCs w:val="22"/>
        </w:rPr>
        <w:t xml:space="preserve">Name of </w:t>
      </w:r>
      <w:r w:rsidRPr="00F575FF">
        <w:rPr>
          <w:sz w:val="22"/>
          <w:szCs w:val="22"/>
        </w:rPr>
        <w:t xml:space="preserve">G-SIB </w:t>
      </w:r>
      <w:r w:rsidR="007173F1" w:rsidRPr="00F575FF">
        <w:rPr>
          <w:sz w:val="22"/>
          <w:szCs w:val="22"/>
        </w:rPr>
        <w:t>Entity</w:t>
      </w:r>
      <w:r w:rsidRPr="00F575FF">
        <w:rPr>
          <w:sz w:val="22"/>
          <w:szCs w:val="22"/>
        </w:rPr>
        <w:t>]</w:t>
      </w:r>
      <w:r w:rsidR="00606ABE" w:rsidRPr="00F575FF">
        <w:rPr>
          <w:sz w:val="22"/>
          <w:szCs w:val="22"/>
        </w:rPr>
        <w:t xml:space="preserve"> </w:t>
      </w:r>
      <w:r w:rsidRPr="00F575FF">
        <w:rPr>
          <w:sz w:val="22"/>
          <w:szCs w:val="22"/>
        </w:rPr>
        <w:t xml:space="preserve">and </w:t>
      </w:r>
      <w:r w:rsidR="00B14670" w:rsidRPr="00F575FF">
        <w:rPr>
          <w:sz w:val="22"/>
          <w:szCs w:val="22"/>
        </w:rPr>
        <w:t>e</w:t>
      </w:r>
      <w:r w:rsidR="007553C7" w:rsidRPr="00F575FF">
        <w:rPr>
          <w:sz w:val="22"/>
          <w:szCs w:val="22"/>
        </w:rPr>
        <w:t xml:space="preserve">ach of </w:t>
      </w:r>
      <w:r w:rsidRPr="00F575FF">
        <w:rPr>
          <w:sz w:val="22"/>
          <w:szCs w:val="22"/>
        </w:rPr>
        <w:t xml:space="preserve">its </w:t>
      </w:r>
      <w:r w:rsidR="0089231A" w:rsidRPr="00F575FF">
        <w:rPr>
          <w:sz w:val="22"/>
          <w:szCs w:val="22"/>
        </w:rPr>
        <w:t>BHCA Affiliates</w:t>
      </w:r>
      <w:r w:rsidR="007173F1" w:rsidRPr="00F575FF">
        <w:rPr>
          <w:sz w:val="22"/>
          <w:szCs w:val="22"/>
        </w:rPr>
        <w:t xml:space="preserve"> </w:t>
      </w:r>
      <w:r w:rsidR="00051FDB" w:rsidRPr="00F575FF">
        <w:rPr>
          <w:sz w:val="22"/>
          <w:szCs w:val="22"/>
        </w:rPr>
        <w:t>listed on [</w:t>
      </w:r>
      <w:r w:rsidR="00C94C04" w:rsidRPr="00F575FF">
        <w:rPr>
          <w:sz w:val="22"/>
          <w:szCs w:val="22"/>
        </w:rPr>
        <w:t xml:space="preserve">the </w:t>
      </w:r>
      <w:r w:rsidR="00051FDB" w:rsidRPr="00F575FF">
        <w:rPr>
          <w:sz w:val="22"/>
          <w:szCs w:val="22"/>
        </w:rPr>
        <w:t>signature pages hereof/Schedule 1 here</w:t>
      </w:r>
      <w:r w:rsidR="00C94C04" w:rsidRPr="00F575FF">
        <w:rPr>
          <w:sz w:val="22"/>
          <w:szCs w:val="22"/>
        </w:rPr>
        <w:t>to</w:t>
      </w:r>
      <w:r w:rsidR="00051FDB" w:rsidRPr="00F575FF">
        <w:rPr>
          <w:sz w:val="22"/>
          <w:szCs w:val="22"/>
        </w:rPr>
        <w:t>]</w:t>
      </w:r>
      <w:r>
        <w:rPr>
          <w:rStyle w:val="FootnoteReference"/>
          <w:sz w:val="22"/>
          <w:szCs w:val="22"/>
        </w:rPr>
        <w:footnoteReference w:id="3"/>
      </w:r>
      <w:r w:rsidR="00185547" w:rsidRPr="00F575FF">
        <w:rPr>
          <w:sz w:val="22"/>
          <w:szCs w:val="22"/>
        </w:rPr>
        <w:t xml:space="preserve"> </w:t>
      </w:r>
      <w:r w:rsidRPr="00F575FF">
        <w:rPr>
          <w:sz w:val="22"/>
          <w:szCs w:val="22"/>
        </w:rPr>
        <w:t>(together with [</w:t>
      </w:r>
      <w:r w:rsidR="00680E58" w:rsidRPr="00F575FF">
        <w:rPr>
          <w:sz w:val="22"/>
          <w:szCs w:val="22"/>
        </w:rPr>
        <w:t xml:space="preserve">Name of </w:t>
      </w:r>
      <w:r w:rsidRPr="00F575FF">
        <w:rPr>
          <w:sz w:val="22"/>
          <w:szCs w:val="22"/>
        </w:rPr>
        <w:t xml:space="preserve">G-SIB </w:t>
      </w:r>
      <w:r w:rsidR="007173F1" w:rsidRPr="00F575FF">
        <w:rPr>
          <w:sz w:val="22"/>
          <w:szCs w:val="22"/>
        </w:rPr>
        <w:t>Entity</w:t>
      </w:r>
      <w:r w:rsidRPr="00F575FF">
        <w:rPr>
          <w:sz w:val="22"/>
          <w:szCs w:val="22"/>
        </w:rPr>
        <w:t>]</w:t>
      </w:r>
      <w:r w:rsidR="00C94C04" w:rsidRPr="00F575FF">
        <w:rPr>
          <w:sz w:val="22"/>
          <w:szCs w:val="22"/>
        </w:rPr>
        <w:t xml:space="preserve"> and any additional </w:t>
      </w:r>
      <w:r w:rsidR="0089231A" w:rsidRPr="00F575FF">
        <w:rPr>
          <w:sz w:val="22"/>
          <w:szCs w:val="22"/>
        </w:rPr>
        <w:t>BHCA Affiliates</w:t>
      </w:r>
      <w:r w:rsidR="007173F1" w:rsidRPr="00F575FF">
        <w:rPr>
          <w:sz w:val="22"/>
          <w:szCs w:val="22"/>
        </w:rPr>
        <w:t xml:space="preserve"> </w:t>
      </w:r>
      <w:r w:rsidR="00C94C04" w:rsidRPr="00F575FF">
        <w:rPr>
          <w:sz w:val="22"/>
          <w:szCs w:val="22"/>
        </w:rPr>
        <w:t xml:space="preserve">of [Name of G-SIB </w:t>
      </w:r>
      <w:r w:rsidR="007173F1" w:rsidRPr="00F575FF">
        <w:rPr>
          <w:sz w:val="22"/>
          <w:szCs w:val="22"/>
        </w:rPr>
        <w:t>Entity</w:t>
      </w:r>
      <w:r w:rsidR="00C94C04" w:rsidRPr="00F575FF">
        <w:rPr>
          <w:sz w:val="22"/>
          <w:szCs w:val="22"/>
        </w:rPr>
        <w:t xml:space="preserve">] that </w:t>
      </w:r>
      <w:r w:rsidR="0074022E" w:rsidRPr="00F575FF">
        <w:rPr>
          <w:sz w:val="22"/>
          <w:szCs w:val="22"/>
        </w:rPr>
        <w:t>execute</w:t>
      </w:r>
      <w:r w:rsidR="00C94C04" w:rsidRPr="00F575FF">
        <w:rPr>
          <w:sz w:val="22"/>
          <w:szCs w:val="22"/>
        </w:rPr>
        <w:t xml:space="preserve"> a Joinder Agreement</w:t>
      </w:r>
      <w:r w:rsidRPr="00F575FF">
        <w:rPr>
          <w:sz w:val="22"/>
          <w:szCs w:val="22"/>
        </w:rPr>
        <w:t xml:space="preserve">, </w:t>
      </w:r>
      <w:r w:rsidR="00991FEA" w:rsidRPr="00F575FF">
        <w:rPr>
          <w:sz w:val="22"/>
          <w:szCs w:val="22"/>
        </w:rPr>
        <w:t xml:space="preserve">the </w:t>
      </w:r>
      <w:r w:rsidRPr="00F575FF">
        <w:rPr>
          <w:sz w:val="22"/>
          <w:szCs w:val="22"/>
        </w:rPr>
        <w:t>“</w:t>
      </w:r>
      <w:r w:rsidRPr="00F575FF">
        <w:rPr>
          <w:b/>
          <w:bCs/>
          <w:sz w:val="22"/>
          <w:szCs w:val="22"/>
        </w:rPr>
        <w:t>Covered Entity Group</w:t>
      </w:r>
      <w:r w:rsidRPr="00F575FF">
        <w:rPr>
          <w:sz w:val="22"/>
          <w:szCs w:val="22"/>
        </w:rPr>
        <w:t>”)</w:t>
      </w:r>
      <w:r>
        <w:rPr>
          <w:rStyle w:val="FootnoteReference"/>
          <w:sz w:val="22"/>
          <w:szCs w:val="22"/>
        </w:rPr>
        <w:footnoteReference w:id="4"/>
      </w:r>
      <w:r w:rsidR="00FB4170" w:rsidRPr="00F575FF">
        <w:rPr>
          <w:sz w:val="22"/>
          <w:szCs w:val="22"/>
        </w:rPr>
        <w:t>]</w:t>
      </w:r>
      <w:r w:rsidRPr="00F575FF">
        <w:rPr>
          <w:sz w:val="22"/>
          <w:szCs w:val="22"/>
        </w:rPr>
        <w:t>, and [</w:t>
      </w:r>
      <w:r w:rsidR="00731890" w:rsidRPr="00F575FF">
        <w:rPr>
          <w:sz w:val="22"/>
          <w:szCs w:val="22"/>
        </w:rPr>
        <w:t xml:space="preserve">Name of Counterparty </w:t>
      </w:r>
      <w:r w:rsidR="0089231A" w:rsidRPr="00F575FF">
        <w:rPr>
          <w:sz w:val="22"/>
          <w:szCs w:val="22"/>
        </w:rPr>
        <w:t>Entity</w:t>
      </w:r>
      <w:r w:rsidRPr="00F575FF">
        <w:rPr>
          <w:sz w:val="22"/>
          <w:szCs w:val="22"/>
        </w:rPr>
        <w:t xml:space="preserve">], a company incorporated under </w:t>
      </w:r>
      <w:r w:rsidR="00606ABE" w:rsidRPr="00F575FF">
        <w:rPr>
          <w:sz w:val="22"/>
          <w:szCs w:val="22"/>
        </w:rPr>
        <w:t xml:space="preserve">the laws of </w:t>
      </w:r>
      <w:r w:rsidRPr="00F575FF">
        <w:rPr>
          <w:sz w:val="22"/>
          <w:szCs w:val="22"/>
        </w:rPr>
        <w:t>[</w:t>
      </w:r>
      <w:r w:rsidRPr="00F575FF">
        <w:rPr>
          <w:rFonts w:cs="Times New Roman"/>
          <w:sz w:val="22"/>
          <w:szCs w:val="22"/>
        </w:rPr>
        <w:t>●</w:t>
      </w:r>
      <w:r w:rsidRPr="00F575FF">
        <w:rPr>
          <w:sz w:val="22"/>
          <w:szCs w:val="22"/>
        </w:rPr>
        <w:t xml:space="preserve">], and </w:t>
      </w:r>
      <w:r w:rsidR="007553C7" w:rsidRPr="00F575FF">
        <w:rPr>
          <w:sz w:val="22"/>
          <w:szCs w:val="22"/>
        </w:rPr>
        <w:t xml:space="preserve">each of </w:t>
      </w:r>
      <w:r w:rsidR="00185547" w:rsidRPr="00F575FF">
        <w:rPr>
          <w:sz w:val="22"/>
          <w:szCs w:val="22"/>
        </w:rPr>
        <w:t xml:space="preserve">its </w:t>
      </w:r>
      <w:r w:rsidR="0089231A" w:rsidRPr="00F575FF">
        <w:rPr>
          <w:sz w:val="22"/>
          <w:szCs w:val="22"/>
        </w:rPr>
        <w:t>Counterparty Affiliates</w:t>
      </w:r>
      <w:r w:rsidR="00185547" w:rsidRPr="00F575FF">
        <w:rPr>
          <w:sz w:val="22"/>
          <w:szCs w:val="22"/>
        </w:rPr>
        <w:t xml:space="preserve"> </w:t>
      </w:r>
      <w:r w:rsidR="00C94C04" w:rsidRPr="00F575FF">
        <w:rPr>
          <w:sz w:val="22"/>
          <w:szCs w:val="22"/>
        </w:rPr>
        <w:t>listed on the signature pages hereof</w:t>
      </w:r>
      <w:r w:rsidR="00185547" w:rsidRPr="00F575FF">
        <w:rPr>
          <w:sz w:val="22"/>
          <w:szCs w:val="22"/>
        </w:rPr>
        <w:t xml:space="preserve"> </w:t>
      </w:r>
      <w:r w:rsidRPr="00F575FF">
        <w:rPr>
          <w:sz w:val="22"/>
          <w:szCs w:val="22"/>
        </w:rPr>
        <w:t>(together with [</w:t>
      </w:r>
      <w:r w:rsidR="00CD75E2" w:rsidRPr="00F575FF">
        <w:rPr>
          <w:sz w:val="22"/>
          <w:szCs w:val="22"/>
        </w:rPr>
        <w:t xml:space="preserve">Name of </w:t>
      </w:r>
      <w:r w:rsidR="00731890" w:rsidRPr="00F575FF">
        <w:rPr>
          <w:sz w:val="22"/>
          <w:szCs w:val="22"/>
        </w:rPr>
        <w:t xml:space="preserve">Counterparty </w:t>
      </w:r>
      <w:r w:rsidR="0089231A" w:rsidRPr="00F575FF">
        <w:rPr>
          <w:sz w:val="22"/>
          <w:szCs w:val="22"/>
        </w:rPr>
        <w:t>Entity</w:t>
      </w:r>
      <w:r w:rsidRPr="00F575FF">
        <w:rPr>
          <w:sz w:val="22"/>
          <w:szCs w:val="22"/>
        </w:rPr>
        <w:t>]</w:t>
      </w:r>
      <w:r w:rsidR="00C94C04" w:rsidRPr="00F575FF">
        <w:rPr>
          <w:sz w:val="22"/>
          <w:szCs w:val="22"/>
        </w:rPr>
        <w:t xml:space="preserve"> and any additional </w:t>
      </w:r>
      <w:r w:rsidR="0089231A" w:rsidRPr="00F575FF">
        <w:rPr>
          <w:sz w:val="22"/>
          <w:szCs w:val="22"/>
        </w:rPr>
        <w:t>Counterparty Affiliates</w:t>
      </w:r>
      <w:r w:rsidR="00C94C04" w:rsidRPr="00F575FF">
        <w:rPr>
          <w:sz w:val="22"/>
          <w:szCs w:val="22"/>
        </w:rPr>
        <w:t xml:space="preserve"> of [Name of </w:t>
      </w:r>
      <w:r w:rsidR="00CD75E2" w:rsidRPr="00F575FF">
        <w:rPr>
          <w:sz w:val="22"/>
          <w:szCs w:val="22"/>
        </w:rPr>
        <w:t xml:space="preserve">Counterparty </w:t>
      </w:r>
      <w:r w:rsidR="0089231A" w:rsidRPr="00F575FF">
        <w:rPr>
          <w:sz w:val="22"/>
          <w:szCs w:val="22"/>
        </w:rPr>
        <w:t>Entity</w:t>
      </w:r>
      <w:r w:rsidR="00C94C04" w:rsidRPr="00F575FF">
        <w:rPr>
          <w:sz w:val="22"/>
          <w:szCs w:val="22"/>
        </w:rPr>
        <w:t xml:space="preserve">] that </w:t>
      </w:r>
      <w:r w:rsidR="0074022E" w:rsidRPr="00F575FF">
        <w:rPr>
          <w:sz w:val="22"/>
          <w:szCs w:val="22"/>
        </w:rPr>
        <w:t>execute</w:t>
      </w:r>
      <w:r w:rsidR="00C94C04" w:rsidRPr="00F575FF">
        <w:rPr>
          <w:sz w:val="22"/>
          <w:szCs w:val="22"/>
        </w:rPr>
        <w:t xml:space="preserve"> a Joinder Agreement, </w:t>
      </w:r>
      <w:r w:rsidR="00991FEA" w:rsidRPr="00F575FF">
        <w:rPr>
          <w:sz w:val="22"/>
          <w:szCs w:val="22"/>
        </w:rPr>
        <w:t>the</w:t>
      </w:r>
      <w:r w:rsidR="00C2316B" w:rsidRPr="00F575FF">
        <w:rPr>
          <w:sz w:val="22"/>
          <w:szCs w:val="22"/>
        </w:rPr>
        <w:t xml:space="preserve"> </w:t>
      </w:r>
      <w:r w:rsidRPr="00F575FF">
        <w:rPr>
          <w:sz w:val="22"/>
          <w:szCs w:val="22"/>
        </w:rPr>
        <w:t>“</w:t>
      </w:r>
      <w:r w:rsidRPr="00F575FF">
        <w:rPr>
          <w:b/>
          <w:bCs/>
          <w:sz w:val="22"/>
          <w:szCs w:val="22"/>
        </w:rPr>
        <w:t>Counterparty Group</w:t>
      </w:r>
      <w:r w:rsidRPr="00F575FF">
        <w:rPr>
          <w:sz w:val="22"/>
          <w:szCs w:val="22"/>
        </w:rPr>
        <w:t>”)</w:t>
      </w:r>
      <w:r>
        <w:rPr>
          <w:rStyle w:val="FootnoteReference"/>
          <w:sz w:val="22"/>
          <w:szCs w:val="22"/>
        </w:rPr>
        <w:footnoteReference w:id="5"/>
      </w:r>
      <w:r w:rsidR="00472C3F" w:rsidRPr="00F575FF">
        <w:rPr>
          <w:sz w:val="22"/>
          <w:szCs w:val="22"/>
        </w:rPr>
        <w:t>]</w:t>
      </w:r>
      <w:r w:rsidR="00F06EAA" w:rsidRPr="00F575FF">
        <w:rPr>
          <w:sz w:val="22"/>
          <w:szCs w:val="22"/>
        </w:rPr>
        <w:t>.</w:t>
      </w:r>
    </w:p>
    <w:p w:rsidR="00123D89" w:rsidRPr="00F575FF" w:rsidRDefault="005D11B0" w:rsidP="001437FB">
      <w:pPr>
        <w:pStyle w:val="BodyText"/>
        <w:rPr>
          <w:sz w:val="22"/>
          <w:szCs w:val="22"/>
        </w:rPr>
      </w:pPr>
      <w:r w:rsidRPr="00F575FF">
        <w:rPr>
          <w:sz w:val="22"/>
          <w:szCs w:val="22"/>
        </w:rPr>
        <w:t xml:space="preserve">Capitalized terms used but not otherwise defined herein </w:t>
      </w:r>
      <w:r w:rsidR="001437FB">
        <w:rPr>
          <w:sz w:val="22"/>
          <w:szCs w:val="22"/>
        </w:rPr>
        <w:t>have the meanings specified</w:t>
      </w:r>
      <w:r w:rsidRPr="00F575FF">
        <w:rPr>
          <w:sz w:val="22"/>
          <w:szCs w:val="22"/>
        </w:rPr>
        <w:t xml:space="preserve"> in the Appendix.</w:t>
      </w:r>
    </w:p>
    <w:p w:rsidR="00F70B85" w:rsidRPr="00F575FF" w:rsidRDefault="005D11B0" w:rsidP="00D43897">
      <w:pPr>
        <w:pStyle w:val="TitleCenterBold"/>
        <w:rPr>
          <w:sz w:val="22"/>
          <w:szCs w:val="22"/>
        </w:rPr>
      </w:pPr>
      <w:r w:rsidRPr="00F575FF">
        <w:rPr>
          <w:sz w:val="22"/>
          <w:szCs w:val="22"/>
        </w:rPr>
        <w:t>RECITALS</w:t>
      </w:r>
    </w:p>
    <w:p w:rsidR="000E54B8" w:rsidRPr="00F575FF" w:rsidRDefault="005D11B0" w:rsidP="006F5B9A">
      <w:pPr>
        <w:pStyle w:val="BodyText"/>
        <w:numPr>
          <w:ilvl w:val="0"/>
          <w:numId w:val="6"/>
        </w:numPr>
        <w:ind w:left="0" w:firstLine="630"/>
        <w:rPr>
          <w:sz w:val="22"/>
          <w:szCs w:val="22"/>
        </w:rPr>
      </w:pPr>
      <w:r w:rsidRPr="00F575FF">
        <w:rPr>
          <w:sz w:val="22"/>
          <w:szCs w:val="22"/>
        </w:rPr>
        <w:t>The Covered Entity Group</w:t>
      </w:r>
      <w:r w:rsidR="008A6D3B" w:rsidRPr="00F575FF">
        <w:rPr>
          <w:sz w:val="22"/>
          <w:szCs w:val="22"/>
        </w:rPr>
        <w:t xml:space="preserve"> is subject to the requirements of the QFC Stay Rules</w:t>
      </w:r>
      <w:r w:rsidR="00A3562A" w:rsidRPr="00F575FF">
        <w:rPr>
          <w:sz w:val="22"/>
          <w:szCs w:val="22"/>
        </w:rPr>
        <w:t>. These rules</w:t>
      </w:r>
      <w:r w:rsidR="003D488A" w:rsidRPr="00F575FF">
        <w:rPr>
          <w:sz w:val="22"/>
          <w:szCs w:val="22"/>
        </w:rPr>
        <w:t xml:space="preserve"> </w:t>
      </w:r>
      <w:r w:rsidRPr="00F575FF">
        <w:rPr>
          <w:sz w:val="22"/>
          <w:szCs w:val="22"/>
        </w:rPr>
        <w:t xml:space="preserve">require that </w:t>
      </w:r>
      <w:r w:rsidR="00607847" w:rsidRPr="00F575FF">
        <w:rPr>
          <w:sz w:val="22"/>
          <w:szCs w:val="22"/>
        </w:rPr>
        <w:t>all</w:t>
      </w:r>
      <w:r w:rsidRPr="00F575FF">
        <w:rPr>
          <w:sz w:val="22"/>
          <w:szCs w:val="22"/>
        </w:rPr>
        <w:t xml:space="preserve"> Covered Agreements</w:t>
      </w:r>
      <w:r w:rsidR="008A6D3B" w:rsidRPr="00F575FF">
        <w:rPr>
          <w:sz w:val="22"/>
          <w:szCs w:val="22"/>
        </w:rPr>
        <w:t xml:space="preserve"> </w:t>
      </w:r>
      <w:r w:rsidRPr="00F575FF">
        <w:rPr>
          <w:sz w:val="22"/>
          <w:szCs w:val="22"/>
        </w:rPr>
        <w:t xml:space="preserve">between </w:t>
      </w:r>
      <w:r w:rsidR="00991FEA" w:rsidRPr="00F575FF">
        <w:rPr>
          <w:sz w:val="22"/>
          <w:szCs w:val="22"/>
        </w:rPr>
        <w:t xml:space="preserve">members of the </w:t>
      </w:r>
      <w:r w:rsidRPr="00F575FF">
        <w:rPr>
          <w:sz w:val="22"/>
          <w:szCs w:val="22"/>
        </w:rPr>
        <w:t xml:space="preserve">Covered Entity Group and </w:t>
      </w:r>
      <w:r w:rsidR="00991FEA" w:rsidRPr="00F575FF">
        <w:rPr>
          <w:sz w:val="22"/>
          <w:szCs w:val="22"/>
        </w:rPr>
        <w:t xml:space="preserve">members of the </w:t>
      </w:r>
      <w:r w:rsidRPr="00F575FF">
        <w:rPr>
          <w:sz w:val="22"/>
          <w:szCs w:val="22"/>
        </w:rPr>
        <w:t xml:space="preserve">Counterparty Group </w:t>
      </w:r>
      <w:r w:rsidR="003D488A" w:rsidRPr="00F575FF">
        <w:rPr>
          <w:sz w:val="22"/>
          <w:szCs w:val="22"/>
        </w:rPr>
        <w:t xml:space="preserve">be amended to </w:t>
      </w:r>
      <w:r w:rsidRPr="00F575FF">
        <w:rPr>
          <w:sz w:val="22"/>
          <w:szCs w:val="22"/>
        </w:rPr>
        <w:t>expressly recognize the</w:t>
      </w:r>
      <w:r w:rsidR="00607847" w:rsidRPr="00F575FF">
        <w:rPr>
          <w:sz w:val="22"/>
          <w:szCs w:val="22"/>
        </w:rPr>
        <w:t xml:space="preserve"> stay-and-transfer powers of the</w:t>
      </w:r>
      <w:r w:rsidRPr="00F575FF">
        <w:rPr>
          <w:sz w:val="22"/>
          <w:szCs w:val="22"/>
        </w:rPr>
        <w:t xml:space="preserve"> </w:t>
      </w:r>
      <w:r w:rsidR="0074022E" w:rsidRPr="00F575FF">
        <w:rPr>
          <w:sz w:val="22"/>
          <w:szCs w:val="22"/>
        </w:rPr>
        <w:t>FDIC</w:t>
      </w:r>
      <w:r w:rsidRPr="00F575FF">
        <w:rPr>
          <w:sz w:val="22"/>
          <w:szCs w:val="22"/>
        </w:rPr>
        <w:t xml:space="preserve"> under th</w:t>
      </w:r>
      <w:r w:rsidR="00D86C19" w:rsidRPr="00F575FF">
        <w:rPr>
          <w:sz w:val="22"/>
          <w:szCs w:val="22"/>
        </w:rPr>
        <w:t xml:space="preserve">e </w:t>
      </w:r>
      <w:r w:rsidR="00662F7E" w:rsidRPr="00F575FF">
        <w:rPr>
          <w:sz w:val="22"/>
          <w:szCs w:val="22"/>
        </w:rPr>
        <w:t xml:space="preserve">FDI Act and OLA </w:t>
      </w:r>
      <w:r w:rsidRPr="00F575FF">
        <w:rPr>
          <w:sz w:val="22"/>
          <w:szCs w:val="22"/>
        </w:rPr>
        <w:t xml:space="preserve">and </w:t>
      </w:r>
      <w:r w:rsidR="00607847" w:rsidRPr="00F575FF">
        <w:rPr>
          <w:sz w:val="22"/>
          <w:szCs w:val="22"/>
        </w:rPr>
        <w:t xml:space="preserve">limit </w:t>
      </w:r>
      <w:r w:rsidR="007553C7" w:rsidRPr="00F575FF">
        <w:rPr>
          <w:sz w:val="22"/>
          <w:szCs w:val="22"/>
        </w:rPr>
        <w:t xml:space="preserve">the exercise of </w:t>
      </w:r>
      <w:r w:rsidRPr="00F575FF">
        <w:rPr>
          <w:sz w:val="22"/>
          <w:szCs w:val="22"/>
        </w:rPr>
        <w:t>certain default rights and transfer restrictions</w:t>
      </w:r>
      <w:r w:rsidR="00B94B68" w:rsidRPr="00F575FF">
        <w:rPr>
          <w:sz w:val="22"/>
          <w:szCs w:val="22"/>
        </w:rPr>
        <w:t xml:space="preserve"> related to a </w:t>
      </w:r>
      <w:r w:rsidR="00CA422A" w:rsidRPr="00F575FF">
        <w:rPr>
          <w:sz w:val="22"/>
          <w:szCs w:val="22"/>
        </w:rPr>
        <w:t>BHC</w:t>
      </w:r>
      <w:r w:rsidR="005B25BA" w:rsidRPr="00F575FF">
        <w:rPr>
          <w:sz w:val="22"/>
          <w:szCs w:val="22"/>
        </w:rPr>
        <w:t>A</w:t>
      </w:r>
      <w:r w:rsidRPr="00F575FF">
        <w:rPr>
          <w:sz w:val="22"/>
          <w:szCs w:val="22"/>
        </w:rPr>
        <w:t xml:space="preserve"> Affiliate </w:t>
      </w:r>
      <w:r w:rsidR="00D278F8" w:rsidRPr="00F575FF">
        <w:rPr>
          <w:sz w:val="22"/>
          <w:szCs w:val="22"/>
        </w:rPr>
        <w:t xml:space="preserve">of </w:t>
      </w:r>
      <w:r w:rsidR="009D7AF5" w:rsidRPr="00F575FF">
        <w:rPr>
          <w:sz w:val="22"/>
          <w:szCs w:val="22"/>
        </w:rPr>
        <w:t xml:space="preserve">a Covered Entity </w:t>
      </w:r>
      <w:r w:rsidR="00B94B68" w:rsidRPr="00F575FF">
        <w:rPr>
          <w:sz w:val="22"/>
          <w:szCs w:val="22"/>
        </w:rPr>
        <w:t>entering into insolvency or resolution proceedings</w:t>
      </w:r>
      <w:r w:rsidRPr="00F575FF">
        <w:rPr>
          <w:sz w:val="22"/>
          <w:szCs w:val="22"/>
        </w:rPr>
        <w:t>.</w:t>
      </w:r>
    </w:p>
    <w:p w:rsidR="00566123" w:rsidRPr="00F575FF" w:rsidRDefault="005D11B0" w:rsidP="006F5B9A">
      <w:pPr>
        <w:pStyle w:val="BodyText"/>
        <w:numPr>
          <w:ilvl w:val="0"/>
          <w:numId w:val="6"/>
        </w:numPr>
        <w:ind w:left="0" w:firstLine="630"/>
        <w:rPr>
          <w:sz w:val="22"/>
          <w:szCs w:val="22"/>
        </w:rPr>
      </w:pPr>
      <w:r w:rsidRPr="00F575FF">
        <w:rPr>
          <w:sz w:val="22"/>
          <w:szCs w:val="22"/>
        </w:rPr>
        <w:t xml:space="preserve">Under the QFC Stay Rules, </w:t>
      </w:r>
      <w:r w:rsidR="007173F1" w:rsidRPr="00F575FF">
        <w:rPr>
          <w:sz w:val="22"/>
          <w:szCs w:val="22"/>
        </w:rPr>
        <w:t xml:space="preserve">if </w:t>
      </w:r>
      <w:r w:rsidRPr="00F575FF">
        <w:rPr>
          <w:sz w:val="22"/>
          <w:szCs w:val="22"/>
        </w:rPr>
        <w:t>m</w:t>
      </w:r>
      <w:r w:rsidR="00607847" w:rsidRPr="00F575FF">
        <w:rPr>
          <w:sz w:val="22"/>
          <w:szCs w:val="22"/>
        </w:rPr>
        <w:t>embers of the Covered Entity Group enter into new QFCs with members of the Counterparty Group</w:t>
      </w:r>
      <w:r w:rsidR="00731890" w:rsidRPr="00F575FF">
        <w:rPr>
          <w:sz w:val="22"/>
          <w:szCs w:val="22"/>
        </w:rPr>
        <w:t xml:space="preserve"> </w:t>
      </w:r>
      <w:r w:rsidR="007173F1" w:rsidRPr="00F575FF">
        <w:rPr>
          <w:sz w:val="22"/>
          <w:szCs w:val="22"/>
        </w:rPr>
        <w:t xml:space="preserve">after January 1, 2019, </w:t>
      </w:r>
      <w:r w:rsidR="00607847" w:rsidRPr="00F575FF">
        <w:rPr>
          <w:sz w:val="22"/>
          <w:szCs w:val="22"/>
        </w:rPr>
        <w:t xml:space="preserve">all existing Covered Agreements between members of the Covered Entity Group and the Counterparty Group </w:t>
      </w:r>
      <w:r w:rsidR="007173F1" w:rsidRPr="00F575FF">
        <w:rPr>
          <w:sz w:val="22"/>
          <w:szCs w:val="22"/>
        </w:rPr>
        <w:t xml:space="preserve">must be </w:t>
      </w:r>
      <w:r w:rsidR="00607847" w:rsidRPr="00F575FF">
        <w:rPr>
          <w:sz w:val="22"/>
          <w:szCs w:val="22"/>
        </w:rPr>
        <w:t xml:space="preserve">amended </w:t>
      </w:r>
      <w:r w:rsidR="00FA4BC8" w:rsidRPr="00F575FF">
        <w:rPr>
          <w:sz w:val="22"/>
          <w:szCs w:val="22"/>
        </w:rPr>
        <w:t xml:space="preserve">to comply with </w:t>
      </w:r>
      <w:r w:rsidRPr="00F575FF">
        <w:rPr>
          <w:sz w:val="22"/>
          <w:szCs w:val="22"/>
        </w:rPr>
        <w:t xml:space="preserve">the </w:t>
      </w:r>
      <w:r w:rsidR="00607847" w:rsidRPr="00F575FF">
        <w:rPr>
          <w:sz w:val="22"/>
          <w:szCs w:val="22"/>
        </w:rPr>
        <w:t xml:space="preserve">requirements of the </w:t>
      </w:r>
      <w:r w:rsidRPr="00F575FF">
        <w:rPr>
          <w:sz w:val="22"/>
          <w:szCs w:val="22"/>
        </w:rPr>
        <w:t>QF</w:t>
      </w:r>
      <w:r w:rsidRPr="00F575FF">
        <w:rPr>
          <w:sz w:val="22"/>
          <w:szCs w:val="22"/>
        </w:rPr>
        <w:t>C Stay Rules</w:t>
      </w:r>
      <w:r w:rsidR="00D632B7" w:rsidRPr="00F575FF">
        <w:rPr>
          <w:sz w:val="22"/>
          <w:szCs w:val="22"/>
        </w:rPr>
        <w:t xml:space="preserve"> by the </w:t>
      </w:r>
      <w:r w:rsidR="009A553E" w:rsidRPr="00F575FF">
        <w:rPr>
          <w:sz w:val="22"/>
          <w:szCs w:val="22"/>
        </w:rPr>
        <w:t>Applicable Compliance</w:t>
      </w:r>
      <w:r w:rsidR="00D632B7" w:rsidRPr="00F575FF">
        <w:rPr>
          <w:sz w:val="22"/>
          <w:szCs w:val="22"/>
        </w:rPr>
        <w:t xml:space="preserve"> Date</w:t>
      </w:r>
      <w:r w:rsidR="000E54B8" w:rsidRPr="00F575FF">
        <w:rPr>
          <w:sz w:val="22"/>
          <w:szCs w:val="22"/>
        </w:rPr>
        <w:t>.</w:t>
      </w:r>
    </w:p>
    <w:p w:rsidR="00607847" w:rsidRPr="00F575FF" w:rsidRDefault="005D11B0" w:rsidP="006F5B9A">
      <w:pPr>
        <w:pStyle w:val="BodyText"/>
        <w:numPr>
          <w:ilvl w:val="0"/>
          <w:numId w:val="6"/>
        </w:numPr>
        <w:ind w:left="0" w:firstLine="630"/>
        <w:rPr>
          <w:sz w:val="22"/>
          <w:szCs w:val="22"/>
        </w:rPr>
      </w:pPr>
      <w:r w:rsidRPr="00F575FF">
        <w:rPr>
          <w:sz w:val="22"/>
          <w:szCs w:val="22"/>
        </w:rPr>
        <w:t xml:space="preserve">The Parties wish to enter into this Agreement to amend the Covered Agreements </w:t>
      </w:r>
      <w:r w:rsidR="00D632B7" w:rsidRPr="00F575FF">
        <w:rPr>
          <w:sz w:val="22"/>
          <w:szCs w:val="22"/>
        </w:rPr>
        <w:t>on the terms</w:t>
      </w:r>
      <w:r w:rsidR="00CD029C" w:rsidRPr="00F575FF">
        <w:rPr>
          <w:sz w:val="22"/>
          <w:szCs w:val="22"/>
        </w:rPr>
        <w:t xml:space="preserve"> provided </w:t>
      </w:r>
      <w:r w:rsidRPr="00F575FF">
        <w:rPr>
          <w:sz w:val="22"/>
          <w:szCs w:val="22"/>
        </w:rPr>
        <w:t>herein in order to comply with requirements of the QFC Stay Rules.</w:t>
      </w:r>
    </w:p>
    <w:p w:rsidR="00566123" w:rsidRPr="00F575FF" w:rsidRDefault="005D11B0" w:rsidP="00607847">
      <w:pPr>
        <w:pStyle w:val="BodyText"/>
        <w:rPr>
          <w:sz w:val="22"/>
          <w:szCs w:val="22"/>
        </w:rPr>
      </w:pPr>
      <w:r w:rsidRPr="00F575FF">
        <w:rPr>
          <w:sz w:val="22"/>
          <w:szCs w:val="22"/>
        </w:rPr>
        <w:lastRenderedPageBreak/>
        <w:t xml:space="preserve">Now, therefore, the </w:t>
      </w:r>
      <w:r w:rsidR="00FA4BC8" w:rsidRPr="00F575FF">
        <w:rPr>
          <w:sz w:val="22"/>
          <w:szCs w:val="22"/>
        </w:rPr>
        <w:t>P</w:t>
      </w:r>
      <w:r w:rsidRPr="00F575FF">
        <w:rPr>
          <w:sz w:val="22"/>
          <w:szCs w:val="22"/>
        </w:rPr>
        <w:t xml:space="preserve">arties </w:t>
      </w:r>
      <w:r w:rsidR="009A30ED" w:rsidRPr="00F575FF">
        <w:rPr>
          <w:sz w:val="22"/>
          <w:szCs w:val="22"/>
        </w:rPr>
        <w:t xml:space="preserve">hereto </w:t>
      </w:r>
      <w:r w:rsidRPr="00F575FF">
        <w:rPr>
          <w:sz w:val="22"/>
          <w:szCs w:val="22"/>
        </w:rPr>
        <w:t xml:space="preserve">agree </w:t>
      </w:r>
      <w:r w:rsidRPr="00F575FF">
        <w:rPr>
          <w:sz w:val="22"/>
          <w:szCs w:val="22"/>
        </w:rPr>
        <w:t>as follows:</w:t>
      </w:r>
    </w:p>
    <w:p w:rsidR="00463029" w:rsidRPr="00F575FF" w:rsidRDefault="005D11B0" w:rsidP="000311E5">
      <w:pPr>
        <w:pStyle w:val="Heading1"/>
        <w:rPr>
          <w:sz w:val="22"/>
          <w:szCs w:val="22"/>
        </w:rPr>
      </w:pPr>
      <w:r w:rsidRPr="00F575FF">
        <w:rPr>
          <w:sz w:val="22"/>
          <w:szCs w:val="22"/>
        </w:rPr>
        <w:t>RECOGNITION OF U.S. SPECIAL RESOLUTION REGIMES</w:t>
      </w:r>
    </w:p>
    <w:p w:rsidR="00C25BEF" w:rsidRPr="00F575FF" w:rsidRDefault="005D11B0" w:rsidP="00334FD1">
      <w:pPr>
        <w:pStyle w:val="BodyText"/>
        <w:ind w:firstLine="0"/>
        <w:rPr>
          <w:sz w:val="22"/>
          <w:szCs w:val="22"/>
        </w:rPr>
      </w:pPr>
      <w:r w:rsidRPr="00F575FF">
        <w:rPr>
          <w:sz w:val="22"/>
          <w:szCs w:val="22"/>
        </w:rPr>
        <w:t xml:space="preserve">Each Covered Agreement shall be </w:t>
      </w:r>
      <w:r w:rsidR="00300D59" w:rsidRPr="00F575FF">
        <w:rPr>
          <w:sz w:val="22"/>
          <w:szCs w:val="22"/>
        </w:rPr>
        <w:t>modified as follows</w:t>
      </w:r>
      <w:r w:rsidR="00DF4309" w:rsidRPr="00F575FF">
        <w:rPr>
          <w:sz w:val="22"/>
          <w:szCs w:val="22"/>
        </w:rPr>
        <w:t>:</w:t>
      </w:r>
    </w:p>
    <w:p w:rsidR="007A63B7" w:rsidRPr="00F575FF" w:rsidRDefault="005D11B0" w:rsidP="00BB6047">
      <w:pPr>
        <w:pStyle w:val="Heading2"/>
        <w:rPr>
          <w:sz w:val="22"/>
          <w:szCs w:val="22"/>
        </w:rPr>
      </w:pPr>
      <w:r w:rsidRPr="00F575FF">
        <w:rPr>
          <w:sz w:val="22"/>
          <w:szCs w:val="22"/>
          <w:u w:val="single"/>
        </w:rPr>
        <w:t xml:space="preserve">Recognition of </w:t>
      </w:r>
      <w:r w:rsidR="000311E5" w:rsidRPr="00F575FF">
        <w:rPr>
          <w:sz w:val="22"/>
          <w:szCs w:val="22"/>
          <w:u w:val="single"/>
        </w:rPr>
        <w:t xml:space="preserve">U.S. </w:t>
      </w:r>
      <w:r w:rsidRPr="00F575FF">
        <w:rPr>
          <w:sz w:val="22"/>
          <w:szCs w:val="22"/>
          <w:u w:val="single"/>
        </w:rPr>
        <w:t>Special Resolution Regimes</w:t>
      </w:r>
      <w:r w:rsidR="00463029" w:rsidRPr="00F575FF">
        <w:rPr>
          <w:sz w:val="22"/>
          <w:szCs w:val="22"/>
          <w:u w:val="single"/>
        </w:rPr>
        <w:t>.</w:t>
      </w:r>
      <w:r w:rsidR="00463029" w:rsidRPr="00F575FF">
        <w:rPr>
          <w:sz w:val="22"/>
          <w:szCs w:val="22"/>
        </w:rPr>
        <w:t xml:space="preserve"> </w:t>
      </w:r>
    </w:p>
    <w:p w:rsidR="00463029" w:rsidRPr="00F575FF" w:rsidRDefault="005D11B0" w:rsidP="004248CE">
      <w:pPr>
        <w:pStyle w:val="Heading3"/>
        <w:rPr>
          <w:sz w:val="22"/>
          <w:szCs w:val="22"/>
        </w:rPr>
      </w:pPr>
      <w:r w:rsidRPr="00F575FF">
        <w:rPr>
          <w:sz w:val="22"/>
          <w:szCs w:val="22"/>
        </w:rPr>
        <w:t xml:space="preserve">In the event that a </w:t>
      </w:r>
      <w:r w:rsidR="00FE36E5" w:rsidRPr="00F575FF">
        <w:rPr>
          <w:sz w:val="22"/>
          <w:szCs w:val="22"/>
        </w:rPr>
        <w:t>Covered Entity</w:t>
      </w:r>
      <w:r w:rsidRPr="00F575FF">
        <w:rPr>
          <w:sz w:val="22"/>
          <w:szCs w:val="22"/>
        </w:rPr>
        <w:t xml:space="preserve"> becomes subject to a proceeding under the </w:t>
      </w:r>
      <w:r w:rsidR="00BB6047" w:rsidRPr="00F575FF">
        <w:rPr>
          <w:sz w:val="22"/>
          <w:szCs w:val="22"/>
        </w:rPr>
        <w:t>FDI Act or OLA</w:t>
      </w:r>
      <w:r w:rsidRPr="00F575FF">
        <w:rPr>
          <w:sz w:val="22"/>
          <w:szCs w:val="22"/>
        </w:rPr>
        <w:t xml:space="preserve"> (together, the "</w:t>
      </w:r>
      <w:r w:rsidRPr="00F575FF">
        <w:rPr>
          <w:b/>
          <w:sz w:val="22"/>
          <w:szCs w:val="22"/>
        </w:rPr>
        <w:t>U.S. Special Resolution Regimes</w:t>
      </w:r>
      <w:r w:rsidRPr="00F575FF">
        <w:rPr>
          <w:sz w:val="22"/>
          <w:szCs w:val="22"/>
        </w:rPr>
        <w:t xml:space="preserve">"), the transfer of </w:t>
      </w:r>
      <w:r w:rsidR="00171A12" w:rsidRPr="00F575FF">
        <w:rPr>
          <w:sz w:val="22"/>
          <w:szCs w:val="22"/>
        </w:rPr>
        <w:t>the</w:t>
      </w:r>
      <w:r w:rsidRPr="00F575FF">
        <w:rPr>
          <w:sz w:val="22"/>
          <w:szCs w:val="22"/>
        </w:rPr>
        <w:t xml:space="preserve"> Covered Agreement, and any interest and obligation in or under</w:t>
      </w:r>
      <w:r w:rsidR="000311E5" w:rsidRPr="00F575FF">
        <w:rPr>
          <w:sz w:val="22"/>
          <w:szCs w:val="22"/>
        </w:rPr>
        <w:t>, and any property securing,</w:t>
      </w:r>
      <w:r w:rsidRPr="00F575FF">
        <w:rPr>
          <w:sz w:val="22"/>
          <w:szCs w:val="22"/>
        </w:rPr>
        <w:t xml:space="preserve"> </w:t>
      </w:r>
      <w:r w:rsidR="00171A12" w:rsidRPr="00F575FF">
        <w:rPr>
          <w:sz w:val="22"/>
          <w:szCs w:val="22"/>
        </w:rPr>
        <w:t>the Covered Agreement</w:t>
      </w:r>
      <w:r w:rsidRPr="00F575FF">
        <w:rPr>
          <w:sz w:val="22"/>
          <w:szCs w:val="22"/>
        </w:rPr>
        <w:t xml:space="preserve">, from a </w:t>
      </w:r>
      <w:r w:rsidR="00FE36E5" w:rsidRPr="00F575FF">
        <w:rPr>
          <w:sz w:val="22"/>
          <w:szCs w:val="22"/>
        </w:rPr>
        <w:t>Covered Entity</w:t>
      </w:r>
      <w:r w:rsidRPr="00F575FF">
        <w:rPr>
          <w:sz w:val="22"/>
          <w:szCs w:val="22"/>
        </w:rPr>
        <w:t xml:space="preserve"> will be effective to the same extent as the tran</w:t>
      </w:r>
      <w:r w:rsidRPr="00F575FF">
        <w:rPr>
          <w:sz w:val="22"/>
          <w:szCs w:val="22"/>
        </w:rPr>
        <w:t xml:space="preserve">sfer would be effective under </w:t>
      </w:r>
      <w:r w:rsidR="000311E5" w:rsidRPr="00F575FF">
        <w:rPr>
          <w:sz w:val="22"/>
          <w:szCs w:val="22"/>
        </w:rPr>
        <w:t>the</w:t>
      </w:r>
      <w:r w:rsidRPr="00F575FF">
        <w:rPr>
          <w:sz w:val="22"/>
          <w:szCs w:val="22"/>
        </w:rPr>
        <w:t xml:space="preserve"> U.S. Special Resolution Regime if the </w:t>
      </w:r>
      <w:r w:rsidR="00171A12" w:rsidRPr="00F575FF">
        <w:rPr>
          <w:sz w:val="22"/>
          <w:szCs w:val="22"/>
        </w:rPr>
        <w:t>Covered Agreement</w:t>
      </w:r>
      <w:r w:rsidR="00D50A58" w:rsidRPr="00F575FF">
        <w:rPr>
          <w:sz w:val="22"/>
          <w:szCs w:val="22"/>
        </w:rPr>
        <w:t xml:space="preserve">, </w:t>
      </w:r>
      <w:r w:rsidRPr="00F575FF">
        <w:rPr>
          <w:sz w:val="22"/>
          <w:szCs w:val="22"/>
        </w:rPr>
        <w:t>and any interest and obligation in or under</w:t>
      </w:r>
      <w:r w:rsidR="000311E5" w:rsidRPr="00F575FF">
        <w:rPr>
          <w:sz w:val="22"/>
          <w:szCs w:val="22"/>
        </w:rPr>
        <w:t>, and any property securing,</w:t>
      </w:r>
      <w:r w:rsidRPr="00F575FF">
        <w:rPr>
          <w:sz w:val="22"/>
          <w:szCs w:val="22"/>
        </w:rPr>
        <w:t xml:space="preserve"> the </w:t>
      </w:r>
      <w:r w:rsidR="00171A12" w:rsidRPr="00F575FF">
        <w:rPr>
          <w:sz w:val="22"/>
          <w:szCs w:val="22"/>
        </w:rPr>
        <w:t>Covered Agreement</w:t>
      </w:r>
      <w:r w:rsidR="00D50A58" w:rsidRPr="00F575FF">
        <w:rPr>
          <w:sz w:val="22"/>
          <w:szCs w:val="22"/>
        </w:rPr>
        <w:t xml:space="preserve">, </w:t>
      </w:r>
      <w:r w:rsidRPr="00F575FF">
        <w:rPr>
          <w:sz w:val="22"/>
          <w:szCs w:val="22"/>
        </w:rPr>
        <w:t xml:space="preserve">were governed by the </w:t>
      </w:r>
      <w:r w:rsidR="004248CE">
        <w:rPr>
          <w:sz w:val="22"/>
          <w:szCs w:val="22"/>
        </w:rPr>
        <w:t>laws of the United States or a S</w:t>
      </w:r>
      <w:r w:rsidRPr="00F575FF">
        <w:rPr>
          <w:sz w:val="22"/>
          <w:szCs w:val="22"/>
        </w:rPr>
        <w:t>tate of the Unite</w:t>
      </w:r>
      <w:r w:rsidRPr="00F575FF">
        <w:rPr>
          <w:sz w:val="22"/>
          <w:szCs w:val="22"/>
        </w:rPr>
        <w:t xml:space="preserve">d States.  In the event a </w:t>
      </w:r>
      <w:r w:rsidR="00FE36E5" w:rsidRPr="00F575FF">
        <w:rPr>
          <w:sz w:val="22"/>
          <w:szCs w:val="22"/>
        </w:rPr>
        <w:t>Covered Entity</w:t>
      </w:r>
      <w:r w:rsidRPr="00F575FF">
        <w:rPr>
          <w:sz w:val="22"/>
          <w:szCs w:val="22"/>
        </w:rPr>
        <w:t xml:space="preserve"> or a</w:t>
      </w:r>
      <w:r w:rsidR="00171A12" w:rsidRPr="00F575FF">
        <w:rPr>
          <w:sz w:val="22"/>
          <w:szCs w:val="22"/>
        </w:rPr>
        <w:t xml:space="preserve"> </w:t>
      </w:r>
      <w:r w:rsidR="00CA422A" w:rsidRPr="00F575FF">
        <w:rPr>
          <w:sz w:val="22"/>
          <w:szCs w:val="22"/>
        </w:rPr>
        <w:t>BHC</w:t>
      </w:r>
      <w:r w:rsidR="005B25BA" w:rsidRPr="00F575FF">
        <w:rPr>
          <w:sz w:val="22"/>
          <w:szCs w:val="22"/>
        </w:rPr>
        <w:t>A</w:t>
      </w:r>
      <w:r w:rsidR="003468BC" w:rsidRPr="00F575FF">
        <w:rPr>
          <w:sz w:val="22"/>
          <w:szCs w:val="22"/>
        </w:rPr>
        <w:t xml:space="preserve"> Affiliate</w:t>
      </w:r>
      <w:r w:rsidRPr="00F575FF">
        <w:rPr>
          <w:sz w:val="22"/>
          <w:szCs w:val="22"/>
        </w:rPr>
        <w:t xml:space="preserve"> </w:t>
      </w:r>
      <w:r w:rsidR="00AC3333" w:rsidRPr="00F575FF">
        <w:rPr>
          <w:sz w:val="22"/>
          <w:szCs w:val="22"/>
        </w:rPr>
        <w:t xml:space="preserve">of such </w:t>
      </w:r>
      <w:r w:rsidR="00FE36E5" w:rsidRPr="00F575FF">
        <w:rPr>
          <w:sz w:val="22"/>
          <w:szCs w:val="22"/>
        </w:rPr>
        <w:t>Covered Entity</w:t>
      </w:r>
      <w:r w:rsidR="00AC3333" w:rsidRPr="00F575FF">
        <w:rPr>
          <w:sz w:val="22"/>
          <w:szCs w:val="22"/>
        </w:rPr>
        <w:t xml:space="preserve"> </w:t>
      </w:r>
      <w:r w:rsidRPr="00F575FF">
        <w:rPr>
          <w:sz w:val="22"/>
          <w:szCs w:val="22"/>
        </w:rPr>
        <w:t xml:space="preserve">becomes subject to a proceeding under a U.S. Special Resolution Regime, Default Rights with respect to </w:t>
      </w:r>
      <w:r w:rsidR="004248CE">
        <w:rPr>
          <w:sz w:val="22"/>
          <w:szCs w:val="22"/>
        </w:rPr>
        <w:t>the</w:t>
      </w:r>
      <w:r w:rsidR="00171A12" w:rsidRPr="00F575FF">
        <w:rPr>
          <w:sz w:val="22"/>
          <w:szCs w:val="22"/>
        </w:rPr>
        <w:t xml:space="preserve"> Covered Agreement </w:t>
      </w:r>
      <w:r w:rsidR="00A93C79" w:rsidRPr="00F575FF">
        <w:rPr>
          <w:sz w:val="22"/>
          <w:szCs w:val="22"/>
        </w:rPr>
        <w:t xml:space="preserve">that may be exercised against the </w:t>
      </w:r>
      <w:r w:rsidR="00FE36E5" w:rsidRPr="00F575FF">
        <w:rPr>
          <w:sz w:val="22"/>
          <w:szCs w:val="22"/>
        </w:rPr>
        <w:t>Covered Entity</w:t>
      </w:r>
      <w:r w:rsidR="00A93C79" w:rsidRPr="00F575FF">
        <w:rPr>
          <w:sz w:val="22"/>
          <w:szCs w:val="22"/>
        </w:rPr>
        <w:t xml:space="preserve"> </w:t>
      </w:r>
      <w:r w:rsidRPr="00F575FF">
        <w:rPr>
          <w:sz w:val="22"/>
          <w:szCs w:val="22"/>
        </w:rPr>
        <w:t xml:space="preserve">are permitted to be exercised to no greater extent than such Default Rights could be exercised under such U.S. Special Resolution Regime if the </w:t>
      </w:r>
      <w:r w:rsidR="00171A12" w:rsidRPr="00F575FF">
        <w:rPr>
          <w:sz w:val="22"/>
          <w:szCs w:val="22"/>
        </w:rPr>
        <w:t>Covered</w:t>
      </w:r>
      <w:r w:rsidRPr="00F575FF">
        <w:rPr>
          <w:sz w:val="22"/>
          <w:szCs w:val="22"/>
        </w:rPr>
        <w:t xml:space="preserve"> Agreement were governed by the laws of the United States or a </w:t>
      </w:r>
      <w:r w:rsidR="004248CE">
        <w:rPr>
          <w:sz w:val="22"/>
          <w:szCs w:val="22"/>
        </w:rPr>
        <w:t>S</w:t>
      </w:r>
      <w:r w:rsidRPr="00F575FF">
        <w:rPr>
          <w:sz w:val="22"/>
          <w:szCs w:val="22"/>
        </w:rPr>
        <w:t>tate of the United States.</w:t>
      </w:r>
    </w:p>
    <w:p w:rsidR="007A63B7" w:rsidRPr="00F575FF" w:rsidRDefault="005D11B0" w:rsidP="00680E58">
      <w:pPr>
        <w:pStyle w:val="Heading3"/>
        <w:rPr>
          <w:sz w:val="22"/>
          <w:szCs w:val="22"/>
        </w:rPr>
      </w:pPr>
      <w:r w:rsidRPr="00F575FF">
        <w:rPr>
          <w:sz w:val="22"/>
          <w:szCs w:val="22"/>
        </w:rPr>
        <w:t>The ter</w:t>
      </w:r>
      <w:r w:rsidRPr="00F575FF">
        <w:rPr>
          <w:sz w:val="22"/>
          <w:szCs w:val="22"/>
        </w:rPr>
        <w:t xml:space="preserve">ms of this Section 1.1 shall not apply to any Covered Agreement </w:t>
      </w:r>
      <w:r w:rsidR="00680E58" w:rsidRPr="00F575FF">
        <w:rPr>
          <w:sz w:val="22"/>
          <w:szCs w:val="22"/>
        </w:rPr>
        <w:t>described in</w:t>
      </w:r>
      <w:r w:rsidRPr="00F575FF">
        <w:rPr>
          <w:sz w:val="22"/>
          <w:szCs w:val="22"/>
        </w:rPr>
        <w:t xml:space="preserve"> 12 C.F.R. 252.83(a), 12 C.F.R. 382.3(a) or 12 C.F.R. 47.4(a).</w:t>
      </w:r>
    </w:p>
    <w:p w:rsidR="00BB53C3" w:rsidRPr="00F575FF" w:rsidRDefault="005D11B0" w:rsidP="00BB53C3">
      <w:pPr>
        <w:pStyle w:val="Heading1"/>
        <w:rPr>
          <w:sz w:val="22"/>
          <w:szCs w:val="22"/>
        </w:rPr>
      </w:pPr>
      <w:r w:rsidRPr="00F575FF">
        <w:rPr>
          <w:sz w:val="22"/>
          <w:szCs w:val="22"/>
        </w:rPr>
        <w:t>LIMITATIONS ON EXERCISE OF CERTAIN DEFAULT RIGHTS</w:t>
      </w:r>
    </w:p>
    <w:p w:rsidR="00BB53C3" w:rsidRPr="00F575FF" w:rsidRDefault="005D11B0" w:rsidP="00334FD1">
      <w:pPr>
        <w:pStyle w:val="BodyText"/>
        <w:ind w:firstLine="0"/>
        <w:rPr>
          <w:sz w:val="22"/>
          <w:szCs w:val="22"/>
        </w:rPr>
      </w:pPr>
      <w:r w:rsidRPr="00F575FF">
        <w:rPr>
          <w:sz w:val="22"/>
          <w:szCs w:val="22"/>
        </w:rPr>
        <w:t>Each Covered Agreement shall be modified as follows</w:t>
      </w:r>
      <w:r w:rsidR="004248CE">
        <w:rPr>
          <w:sz w:val="22"/>
          <w:szCs w:val="22"/>
        </w:rPr>
        <w:t>:</w:t>
      </w:r>
    </w:p>
    <w:p w:rsidR="00463029" w:rsidRPr="00F575FF" w:rsidRDefault="005D11B0" w:rsidP="002251F1">
      <w:pPr>
        <w:pStyle w:val="Heading2"/>
        <w:rPr>
          <w:sz w:val="22"/>
          <w:szCs w:val="22"/>
        </w:rPr>
      </w:pPr>
      <w:r w:rsidRPr="00F575FF">
        <w:rPr>
          <w:sz w:val="22"/>
          <w:szCs w:val="22"/>
          <w:u w:val="single"/>
        </w:rPr>
        <w:t xml:space="preserve">Limitation on </w:t>
      </w:r>
      <w:r w:rsidRPr="00F575FF">
        <w:rPr>
          <w:sz w:val="22"/>
          <w:szCs w:val="22"/>
          <w:u w:val="single"/>
        </w:rPr>
        <w:t xml:space="preserve">Exercise of Certain Default </w:t>
      </w:r>
      <w:r w:rsidR="00A93C79" w:rsidRPr="00F575FF">
        <w:rPr>
          <w:sz w:val="22"/>
          <w:szCs w:val="22"/>
          <w:u w:val="single"/>
        </w:rPr>
        <w:t xml:space="preserve">Rights </w:t>
      </w:r>
      <w:r w:rsidR="008462AF" w:rsidRPr="00F575FF">
        <w:rPr>
          <w:sz w:val="22"/>
          <w:szCs w:val="22"/>
          <w:u w:val="single"/>
        </w:rPr>
        <w:t xml:space="preserve">Related to </w:t>
      </w:r>
      <w:r w:rsidR="00300D59" w:rsidRPr="00F575FF">
        <w:rPr>
          <w:sz w:val="22"/>
          <w:szCs w:val="22"/>
          <w:u w:val="single"/>
        </w:rPr>
        <w:t xml:space="preserve">a </w:t>
      </w:r>
      <w:r w:rsidR="003468BC" w:rsidRPr="00F575FF">
        <w:rPr>
          <w:sz w:val="22"/>
          <w:szCs w:val="22"/>
          <w:u w:val="single"/>
        </w:rPr>
        <w:t>BHC</w:t>
      </w:r>
      <w:r w:rsidR="005B25BA" w:rsidRPr="00F575FF">
        <w:rPr>
          <w:sz w:val="22"/>
          <w:szCs w:val="22"/>
          <w:u w:val="single"/>
        </w:rPr>
        <w:t>A</w:t>
      </w:r>
      <w:r w:rsidR="00A93C79" w:rsidRPr="00F575FF">
        <w:rPr>
          <w:sz w:val="22"/>
          <w:szCs w:val="22"/>
          <w:u w:val="single"/>
        </w:rPr>
        <w:t xml:space="preserve"> Affiliate’s </w:t>
      </w:r>
      <w:r w:rsidR="002D26F0" w:rsidRPr="00F575FF">
        <w:rPr>
          <w:sz w:val="22"/>
          <w:szCs w:val="22"/>
          <w:u w:val="single"/>
        </w:rPr>
        <w:t xml:space="preserve">Entry </w:t>
      </w:r>
      <w:r w:rsidRPr="00F575FF">
        <w:rPr>
          <w:sz w:val="22"/>
          <w:szCs w:val="22"/>
          <w:u w:val="single"/>
        </w:rPr>
        <w:t>Into Insolvency Proceedings</w:t>
      </w:r>
      <w:r w:rsidRPr="00F575FF">
        <w:rPr>
          <w:sz w:val="22"/>
          <w:szCs w:val="22"/>
        </w:rPr>
        <w:t xml:space="preserve">.  Notwithstanding anything to the contrary in </w:t>
      </w:r>
      <w:r w:rsidR="009E70D1" w:rsidRPr="00F575FF">
        <w:rPr>
          <w:sz w:val="22"/>
          <w:szCs w:val="22"/>
        </w:rPr>
        <w:t>the</w:t>
      </w:r>
      <w:r w:rsidRPr="00F575FF">
        <w:rPr>
          <w:sz w:val="22"/>
          <w:szCs w:val="22"/>
        </w:rPr>
        <w:t xml:space="preserve"> Covered </w:t>
      </w:r>
      <w:r w:rsidR="00300D59" w:rsidRPr="00F575FF">
        <w:rPr>
          <w:sz w:val="22"/>
          <w:szCs w:val="22"/>
        </w:rPr>
        <w:t>Agreement</w:t>
      </w:r>
      <w:r w:rsidR="00680E58" w:rsidRPr="00F575FF">
        <w:rPr>
          <w:sz w:val="22"/>
          <w:szCs w:val="22"/>
        </w:rPr>
        <w:t xml:space="preserve"> </w:t>
      </w:r>
      <w:r w:rsidR="00300D59" w:rsidRPr="00F575FF">
        <w:rPr>
          <w:sz w:val="22"/>
          <w:szCs w:val="22"/>
        </w:rPr>
        <w:t>or any other agreement,</w:t>
      </w:r>
      <w:r w:rsidRPr="00F575FF">
        <w:rPr>
          <w:sz w:val="22"/>
          <w:szCs w:val="22"/>
        </w:rPr>
        <w:t xml:space="preserve"> the </w:t>
      </w:r>
      <w:r w:rsidR="00603008" w:rsidRPr="00F575FF">
        <w:rPr>
          <w:sz w:val="22"/>
          <w:szCs w:val="22"/>
        </w:rPr>
        <w:t>P</w:t>
      </w:r>
      <w:r w:rsidRPr="00F575FF">
        <w:rPr>
          <w:sz w:val="22"/>
          <w:szCs w:val="22"/>
        </w:rPr>
        <w:t>arties expressly acknowledge and agree that:</w:t>
      </w:r>
    </w:p>
    <w:p w:rsidR="00524DF4" w:rsidRPr="00F575FF" w:rsidRDefault="005D11B0" w:rsidP="00D521BF">
      <w:pPr>
        <w:pStyle w:val="Heading3"/>
        <w:rPr>
          <w:sz w:val="22"/>
          <w:szCs w:val="22"/>
        </w:rPr>
      </w:pPr>
      <w:r w:rsidRPr="00F575FF">
        <w:rPr>
          <w:sz w:val="22"/>
          <w:szCs w:val="22"/>
        </w:rPr>
        <w:t xml:space="preserve">Subject to Sections </w:t>
      </w:r>
      <w:r w:rsidR="00BB53C3" w:rsidRPr="00F575FF">
        <w:rPr>
          <w:sz w:val="22"/>
          <w:szCs w:val="22"/>
        </w:rPr>
        <w:t>2.2</w:t>
      </w:r>
      <w:r w:rsidR="000C1F1E" w:rsidRPr="00F575FF">
        <w:rPr>
          <w:sz w:val="22"/>
          <w:szCs w:val="22"/>
        </w:rPr>
        <w:t>,</w:t>
      </w:r>
      <w:r w:rsidR="00A93C79" w:rsidRPr="00F575FF">
        <w:rPr>
          <w:sz w:val="22"/>
          <w:szCs w:val="22"/>
        </w:rPr>
        <w:t xml:space="preserve"> </w:t>
      </w:r>
      <w:r w:rsidR="00BB53C3" w:rsidRPr="00F575FF">
        <w:rPr>
          <w:sz w:val="22"/>
          <w:szCs w:val="22"/>
        </w:rPr>
        <w:t>2.3</w:t>
      </w:r>
      <w:r w:rsidR="00D521BF">
        <w:rPr>
          <w:sz w:val="22"/>
          <w:szCs w:val="22"/>
        </w:rPr>
        <w:t xml:space="preserve"> </w:t>
      </w:r>
      <w:r w:rsidR="000C1F1E" w:rsidRPr="00F575FF">
        <w:rPr>
          <w:sz w:val="22"/>
          <w:szCs w:val="22"/>
        </w:rPr>
        <w:t xml:space="preserve">and </w:t>
      </w:r>
      <w:r w:rsidR="00BB53C3" w:rsidRPr="00F575FF">
        <w:rPr>
          <w:sz w:val="22"/>
          <w:szCs w:val="22"/>
        </w:rPr>
        <w:t>2.4</w:t>
      </w:r>
      <w:r w:rsidRPr="00F575FF">
        <w:rPr>
          <w:sz w:val="22"/>
          <w:szCs w:val="22"/>
        </w:rPr>
        <w:t>, a</w:t>
      </w:r>
      <w:r w:rsidR="00463029" w:rsidRPr="00F575FF">
        <w:rPr>
          <w:sz w:val="22"/>
          <w:szCs w:val="22"/>
        </w:rPr>
        <w:t xml:space="preserve"> Counterparty</w:t>
      </w:r>
      <w:r w:rsidR="00FE36E5" w:rsidRPr="00F575FF">
        <w:rPr>
          <w:sz w:val="22"/>
          <w:szCs w:val="22"/>
        </w:rPr>
        <w:t xml:space="preserve"> Entity</w:t>
      </w:r>
      <w:r w:rsidR="00463029" w:rsidRPr="00F575FF">
        <w:rPr>
          <w:sz w:val="22"/>
          <w:szCs w:val="22"/>
        </w:rPr>
        <w:t xml:space="preserve"> shall not be permitted to exercise any Default Right </w:t>
      </w:r>
      <w:r w:rsidR="00701AD7" w:rsidRPr="00F575FF">
        <w:rPr>
          <w:sz w:val="22"/>
          <w:szCs w:val="22"/>
        </w:rPr>
        <w:t>with respect to</w:t>
      </w:r>
      <w:r w:rsidR="00844780" w:rsidRPr="00F575FF">
        <w:rPr>
          <w:sz w:val="22"/>
          <w:szCs w:val="22"/>
        </w:rPr>
        <w:t xml:space="preserve"> such Covered </w:t>
      </w:r>
      <w:r w:rsidR="00DE5B82" w:rsidRPr="00F575FF">
        <w:rPr>
          <w:sz w:val="22"/>
          <w:szCs w:val="22"/>
        </w:rPr>
        <w:t xml:space="preserve">Agreement </w:t>
      </w:r>
      <w:r w:rsidR="00463029" w:rsidRPr="00F575FF">
        <w:rPr>
          <w:sz w:val="22"/>
          <w:szCs w:val="22"/>
        </w:rPr>
        <w:t xml:space="preserve">that is related, directly or indirectly, to </w:t>
      </w:r>
      <w:r w:rsidR="00300D59" w:rsidRPr="00F575FF">
        <w:rPr>
          <w:sz w:val="22"/>
          <w:szCs w:val="22"/>
        </w:rPr>
        <w:t xml:space="preserve">a </w:t>
      </w:r>
      <w:r w:rsidR="00CA422A" w:rsidRPr="00F575FF">
        <w:rPr>
          <w:sz w:val="22"/>
          <w:szCs w:val="22"/>
        </w:rPr>
        <w:t>BHC</w:t>
      </w:r>
      <w:r w:rsidR="005B25BA" w:rsidRPr="00F575FF">
        <w:rPr>
          <w:sz w:val="22"/>
          <w:szCs w:val="22"/>
        </w:rPr>
        <w:t>A</w:t>
      </w:r>
      <w:r w:rsidR="00463029" w:rsidRPr="00F575FF">
        <w:rPr>
          <w:sz w:val="22"/>
          <w:szCs w:val="22"/>
        </w:rPr>
        <w:t xml:space="preserve"> Affiliate</w:t>
      </w:r>
      <w:r w:rsidR="00AC3333" w:rsidRPr="00F575FF">
        <w:rPr>
          <w:sz w:val="22"/>
          <w:szCs w:val="22"/>
        </w:rPr>
        <w:t xml:space="preserve"> of the </w:t>
      </w:r>
      <w:r w:rsidR="00DE5B82" w:rsidRPr="00F575FF">
        <w:rPr>
          <w:sz w:val="22"/>
          <w:szCs w:val="22"/>
        </w:rPr>
        <w:t>Direct Party</w:t>
      </w:r>
      <w:r w:rsidR="00463029" w:rsidRPr="00F575FF">
        <w:rPr>
          <w:sz w:val="22"/>
          <w:szCs w:val="22"/>
        </w:rPr>
        <w:t xml:space="preserve"> becoming subject to </w:t>
      </w:r>
      <w:r w:rsidR="00C00651" w:rsidRPr="00F575FF">
        <w:rPr>
          <w:sz w:val="22"/>
          <w:szCs w:val="22"/>
        </w:rPr>
        <w:t>an Insolvency Proceeding</w:t>
      </w:r>
      <w:r w:rsidRPr="00F575FF">
        <w:rPr>
          <w:sz w:val="22"/>
          <w:szCs w:val="22"/>
        </w:rPr>
        <w:t>, and</w:t>
      </w:r>
    </w:p>
    <w:p w:rsidR="00524DF4" w:rsidRPr="00F575FF" w:rsidRDefault="005D11B0" w:rsidP="00DE5B82">
      <w:pPr>
        <w:pStyle w:val="Heading3"/>
        <w:rPr>
          <w:sz w:val="22"/>
          <w:szCs w:val="22"/>
        </w:rPr>
      </w:pPr>
      <w:r w:rsidRPr="00F575FF">
        <w:rPr>
          <w:sz w:val="22"/>
          <w:szCs w:val="22"/>
        </w:rPr>
        <w:t xml:space="preserve">Nothing in a Covered Agreement shall prohibit the transfer of any </w:t>
      </w:r>
      <w:r w:rsidR="00241FE0" w:rsidRPr="00F575FF">
        <w:rPr>
          <w:sz w:val="22"/>
          <w:szCs w:val="22"/>
        </w:rPr>
        <w:t>Covered Affiliate Credit Enhancement</w:t>
      </w:r>
      <w:r w:rsidRPr="00F575FF">
        <w:rPr>
          <w:sz w:val="22"/>
          <w:szCs w:val="22"/>
        </w:rPr>
        <w:t xml:space="preserve">, any interest or obligation in or under such </w:t>
      </w:r>
      <w:r w:rsidR="00241FE0" w:rsidRPr="00F575FF">
        <w:rPr>
          <w:sz w:val="22"/>
          <w:szCs w:val="22"/>
        </w:rPr>
        <w:t>Covered Affiliate Credit Enhancement</w:t>
      </w:r>
      <w:r w:rsidRPr="00F575FF">
        <w:rPr>
          <w:sz w:val="22"/>
          <w:szCs w:val="22"/>
        </w:rPr>
        <w:t xml:space="preserve">, or any property securing such </w:t>
      </w:r>
      <w:r w:rsidR="00241FE0" w:rsidRPr="00F575FF">
        <w:rPr>
          <w:sz w:val="22"/>
          <w:szCs w:val="22"/>
        </w:rPr>
        <w:t>Covered Affiliate Credit Enhancement</w:t>
      </w:r>
      <w:r w:rsidR="00844780" w:rsidRPr="00F575FF">
        <w:rPr>
          <w:sz w:val="22"/>
          <w:szCs w:val="22"/>
        </w:rPr>
        <w:t xml:space="preserve"> </w:t>
      </w:r>
      <w:r w:rsidRPr="00F575FF">
        <w:rPr>
          <w:sz w:val="22"/>
          <w:szCs w:val="22"/>
        </w:rPr>
        <w:t xml:space="preserve">to a Transferee upon or following </w:t>
      </w:r>
      <w:r w:rsidR="00701AD7" w:rsidRPr="00F575FF">
        <w:rPr>
          <w:sz w:val="22"/>
          <w:szCs w:val="22"/>
        </w:rPr>
        <w:t xml:space="preserve">a </w:t>
      </w:r>
      <w:r w:rsidR="00CA422A" w:rsidRPr="00F575FF">
        <w:rPr>
          <w:sz w:val="22"/>
          <w:szCs w:val="22"/>
        </w:rPr>
        <w:t>BHC</w:t>
      </w:r>
      <w:r w:rsidR="005B25BA" w:rsidRPr="00F575FF">
        <w:rPr>
          <w:sz w:val="22"/>
          <w:szCs w:val="22"/>
        </w:rPr>
        <w:t>A</w:t>
      </w:r>
      <w:r w:rsidR="00701AD7" w:rsidRPr="00F575FF">
        <w:rPr>
          <w:sz w:val="22"/>
          <w:szCs w:val="22"/>
        </w:rPr>
        <w:t xml:space="preserve"> Affiliate </w:t>
      </w:r>
      <w:r w:rsidR="00AC3333" w:rsidRPr="00F575FF">
        <w:rPr>
          <w:sz w:val="22"/>
          <w:szCs w:val="22"/>
        </w:rPr>
        <w:t xml:space="preserve">of the </w:t>
      </w:r>
      <w:r w:rsidR="00DE5B82" w:rsidRPr="00F575FF">
        <w:rPr>
          <w:sz w:val="22"/>
          <w:szCs w:val="22"/>
        </w:rPr>
        <w:t xml:space="preserve">Direct Party </w:t>
      </w:r>
      <w:r w:rsidRPr="00F575FF">
        <w:rPr>
          <w:sz w:val="22"/>
          <w:szCs w:val="22"/>
        </w:rPr>
        <w:t xml:space="preserve">becoming subject to </w:t>
      </w:r>
      <w:r w:rsidR="00C00651" w:rsidRPr="00F575FF">
        <w:rPr>
          <w:sz w:val="22"/>
          <w:szCs w:val="22"/>
        </w:rPr>
        <w:t>an Insolvency Proceeding</w:t>
      </w:r>
      <w:r w:rsidRPr="00F575FF">
        <w:rPr>
          <w:sz w:val="22"/>
          <w:szCs w:val="22"/>
        </w:rPr>
        <w:t>, unless the transfer would result in the Counterparty</w:t>
      </w:r>
      <w:r w:rsidR="00000E4A" w:rsidRPr="00F575FF">
        <w:rPr>
          <w:sz w:val="22"/>
          <w:szCs w:val="22"/>
        </w:rPr>
        <w:t xml:space="preserve"> Entity</w:t>
      </w:r>
      <w:r w:rsidRPr="00F575FF">
        <w:rPr>
          <w:sz w:val="22"/>
          <w:szCs w:val="22"/>
        </w:rPr>
        <w:t xml:space="preserve"> being the beneficiary of such </w:t>
      </w:r>
      <w:r w:rsidR="00241FE0" w:rsidRPr="00F575FF">
        <w:rPr>
          <w:sz w:val="22"/>
          <w:szCs w:val="22"/>
        </w:rPr>
        <w:t>Covered Affiliate Credit Enhancement</w:t>
      </w:r>
      <w:r w:rsidR="00844780" w:rsidRPr="00F575FF">
        <w:rPr>
          <w:sz w:val="22"/>
          <w:szCs w:val="22"/>
        </w:rPr>
        <w:t xml:space="preserve"> </w:t>
      </w:r>
      <w:r w:rsidRPr="00F575FF">
        <w:rPr>
          <w:sz w:val="22"/>
          <w:szCs w:val="22"/>
        </w:rPr>
        <w:t>in violation of any law applicable to the Counterparty</w:t>
      </w:r>
      <w:r w:rsidR="00000E4A" w:rsidRPr="00F575FF">
        <w:rPr>
          <w:sz w:val="22"/>
          <w:szCs w:val="22"/>
        </w:rPr>
        <w:t xml:space="preserve"> Entity</w:t>
      </w:r>
      <w:r w:rsidR="007A63B7" w:rsidRPr="00F575FF">
        <w:rPr>
          <w:sz w:val="22"/>
          <w:szCs w:val="22"/>
        </w:rPr>
        <w:t>.</w:t>
      </w:r>
    </w:p>
    <w:p w:rsidR="00463029" w:rsidRPr="00F575FF" w:rsidRDefault="005D11B0" w:rsidP="00DE5B82">
      <w:pPr>
        <w:pStyle w:val="Heading2"/>
        <w:rPr>
          <w:sz w:val="22"/>
          <w:szCs w:val="22"/>
        </w:rPr>
      </w:pPr>
      <w:r w:rsidRPr="00F575FF">
        <w:rPr>
          <w:sz w:val="22"/>
          <w:szCs w:val="22"/>
          <w:u w:val="single"/>
        </w:rPr>
        <w:t>General Creditor Protections</w:t>
      </w:r>
      <w:r w:rsidRPr="00F575FF">
        <w:rPr>
          <w:sz w:val="22"/>
          <w:szCs w:val="22"/>
        </w:rPr>
        <w:t xml:space="preserve">. </w:t>
      </w:r>
      <w:r w:rsidR="004A3D6A" w:rsidRPr="00F575FF">
        <w:rPr>
          <w:sz w:val="22"/>
          <w:szCs w:val="22"/>
        </w:rPr>
        <w:t>N</w:t>
      </w:r>
      <w:r w:rsidRPr="00F575FF">
        <w:rPr>
          <w:sz w:val="22"/>
          <w:szCs w:val="22"/>
        </w:rPr>
        <w:t xml:space="preserve">othing in Section </w:t>
      </w:r>
      <w:r w:rsidR="00BB53C3" w:rsidRPr="00F575FF">
        <w:rPr>
          <w:sz w:val="22"/>
          <w:szCs w:val="22"/>
        </w:rPr>
        <w:t>2.1</w:t>
      </w:r>
      <w:r w:rsidRPr="00F575FF">
        <w:rPr>
          <w:sz w:val="22"/>
          <w:szCs w:val="22"/>
        </w:rPr>
        <w:t xml:space="preserve"> shall restrict the exercise by a Counterparty</w:t>
      </w:r>
      <w:r w:rsidR="00000E4A" w:rsidRPr="00F575FF">
        <w:rPr>
          <w:sz w:val="22"/>
          <w:szCs w:val="22"/>
        </w:rPr>
        <w:t xml:space="preserve"> Entity</w:t>
      </w:r>
      <w:r w:rsidRPr="00F575FF">
        <w:rPr>
          <w:sz w:val="22"/>
          <w:szCs w:val="22"/>
        </w:rPr>
        <w:t xml:space="preserve"> of any Default Right</w:t>
      </w:r>
      <w:r w:rsidR="00884310" w:rsidRPr="00F575FF">
        <w:rPr>
          <w:sz w:val="22"/>
          <w:szCs w:val="22"/>
        </w:rPr>
        <w:t xml:space="preserve"> </w:t>
      </w:r>
      <w:r w:rsidR="00DE5B82" w:rsidRPr="00F575FF">
        <w:rPr>
          <w:sz w:val="22"/>
          <w:szCs w:val="22"/>
        </w:rPr>
        <w:t xml:space="preserve">with respect to </w:t>
      </w:r>
      <w:r w:rsidR="00884310" w:rsidRPr="00F575FF">
        <w:rPr>
          <w:sz w:val="22"/>
          <w:szCs w:val="22"/>
        </w:rPr>
        <w:t xml:space="preserve">a Covered Direct QFC or a </w:t>
      </w:r>
      <w:r w:rsidR="00241FE0" w:rsidRPr="00F575FF">
        <w:rPr>
          <w:sz w:val="22"/>
          <w:szCs w:val="22"/>
        </w:rPr>
        <w:t>Covered Affiliate Credit Enhancement</w:t>
      </w:r>
      <w:r w:rsidR="00884310" w:rsidRPr="00F575FF">
        <w:rPr>
          <w:sz w:val="22"/>
          <w:szCs w:val="22"/>
        </w:rPr>
        <w:t xml:space="preserve"> </w:t>
      </w:r>
      <w:r w:rsidR="00DE5B82" w:rsidRPr="00F575FF">
        <w:rPr>
          <w:sz w:val="22"/>
          <w:szCs w:val="22"/>
        </w:rPr>
        <w:t xml:space="preserve">that supports </w:t>
      </w:r>
      <w:r w:rsidR="00884310" w:rsidRPr="00F575FF">
        <w:rPr>
          <w:sz w:val="22"/>
          <w:szCs w:val="22"/>
        </w:rPr>
        <w:t>a Covered Direct QFC</w:t>
      </w:r>
      <w:r w:rsidRPr="00F575FF">
        <w:rPr>
          <w:sz w:val="22"/>
          <w:szCs w:val="22"/>
        </w:rPr>
        <w:t xml:space="preserve"> that arises as a result of:</w:t>
      </w:r>
    </w:p>
    <w:p w:rsidR="00463029" w:rsidRPr="00F575FF" w:rsidRDefault="005D11B0" w:rsidP="00DE5B82">
      <w:pPr>
        <w:pStyle w:val="Heading3"/>
        <w:rPr>
          <w:sz w:val="22"/>
          <w:szCs w:val="22"/>
        </w:rPr>
      </w:pPr>
      <w:r w:rsidRPr="00F575FF">
        <w:rPr>
          <w:sz w:val="22"/>
          <w:szCs w:val="22"/>
        </w:rPr>
        <w:t xml:space="preserve">the </w:t>
      </w:r>
      <w:r w:rsidR="00DE5B82" w:rsidRPr="00F575FF">
        <w:rPr>
          <w:sz w:val="22"/>
          <w:szCs w:val="22"/>
        </w:rPr>
        <w:t>Direct Party</w:t>
      </w:r>
      <w:r w:rsidR="00844780" w:rsidRPr="00F575FF">
        <w:rPr>
          <w:sz w:val="22"/>
          <w:szCs w:val="22"/>
        </w:rPr>
        <w:t xml:space="preserve"> </w:t>
      </w:r>
      <w:r w:rsidRPr="00F575FF">
        <w:rPr>
          <w:sz w:val="22"/>
          <w:szCs w:val="22"/>
        </w:rPr>
        <w:t xml:space="preserve">becoming subject to </w:t>
      </w:r>
      <w:r w:rsidR="009E70D1" w:rsidRPr="00F575FF">
        <w:rPr>
          <w:sz w:val="22"/>
          <w:szCs w:val="22"/>
        </w:rPr>
        <w:t>an Insolvency Proceeding</w:t>
      </w:r>
      <w:r w:rsidRPr="00F575FF">
        <w:rPr>
          <w:sz w:val="22"/>
          <w:szCs w:val="22"/>
        </w:rPr>
        <w:t xml:space="preserve">; </w:t>
      </w:r>
    </w:p>
    <w:p w:rsidR="00463029" w:rsidRPr="00F575FF" w:rsidRDefault="005D11B0" w:rsidP="00DE5B82">
      <w:pPr>
        <w:pStyle w:val="Heading3"/>
        <w:rPr>
          <w:sz w:val="22"/>
          <w:szCs w:val="22"/>
        </w:rPr>
      </w:pPr>
      <w:r w:rsidRPr="00F575FF">
        <w:rPr>
          <w:sz w:val="22"/>
          <w:szCs w:val="22"/>
        </w:rPr>
        <w:lastRenderedPageBreak/>
        <w:t xml:space="preserve">the </w:t>
      </w:r>
      <w:r w:rsidR="00DE5B82" w:rsidRPr="00F575FF">
        <w:rPr>
          <w:sz w:val="22"/>
          <w:szCs w:val="22"/>
        </w:rPr>
        <w:t>Direct Party</w:t>
      </w:r>
      <w:r w:rsidR="00844780" w:rsidRPr="00F575FF">
        <w:rPr>
          <w:sz w:val="22"/>
          <w:szCs w:val="22"/>
        </w:rPr>
        <w:t xml:space="preserve"> </w:t>
      </w:r>
      <w:r w:rsidRPr="00F575FF">
        <w:rPr>
          <w:sz w:val="22"/>
          <w:szCs w:val="22"/>
        </w:rPr>
        <w:t>not satisfying a payment or de</w:t>
      </w:r>
      <w:r w:rsidR="00235D6A" w:rsidRPr="00F575FF">
        <w:rPr>
          <w:sz w:val="22"/>
          <w:szCs w:val="22"/>
        </w:rPr>
        <w:t>livery obligation pursuant to (A</w:t>
      </w:r>
      <w:r w:rsidRPr="00F575FF">
        <w:rPr>
          <w:sz w:val="22"/>
          <w:szCs w:val="22"/>
        </w:rPr>
        <w:t xml:space="preserve">) such Covered </w:t>
      </w:r>
      <w:r w:rsidR="00DE5B82" w:rsidRPr="00F575FF">
        <w:rPr>
          <w:sz w:val="22"/>
          <w:szCs w:val="22"/>
        </w:rPr>
        <w:t xml:space="preserve">Agreement </w:t>
      </w:r>
      <w:r w:rsidRPr="00F575FF">
        <w:rPr>
          <w:sz w:val="22"/>
          <w:szCs w:val="22"/>
        </w:rPr>
        <w:t>or</w:t>
      </w:r>
      <w:r w:rsidR="00235D6A" w:rsidRPr="00F575FF">
        <w:rPr>
          <w:sz w:val="22"/>
          <w:szCs w:val="22"/>
        </w:rPr>
        <w:t xml:space="preserve"> (B</w:t>
      </w:r>
      <w:r w:rsidRPr="00F575FF">
        <w:rPr>
          <w:sz w:val="22"/>
          <w:szCs w:val="22"/>
        </w:rPr>
        <w:t xml:space="preserve">) another contract between the </w:t>
      </w:r>
      <w:r w:rsidR="00B97705">
        <w:rPr>
          <w:sz w:val="22"/>
          <w:szCs w:val="22"/>
        </w:rPr>
        <w:t xml:space="preserve">relevant </w:t>
      </w:r>
      <w:r w:rsidR="00FE36E5" w:rsidRPr="00F575FF">
        <w:rPr>
          <w:sz w:val="22"/>
          <w:szCs w:val="22"/>
        </w:rPr>
        <w:t>Covered Entity</w:t>
      </w:r>
      <w:r w:rsidRPr="00F575FF">
        <w:rPr>
          <w:sz w:val="22"/>
          <w:szCs w:val="22"/>
        </w:rPr>
        <w:t xml:space="preserve"> and the</w:t>
      </w:r>
      <w:r w:rsidR="00B97705">
        <w:rPr>
          <w:sz w:val="22"/>
          <w:szCs w:val="22"/>
        </w:rPr>
        <w:t xml:space="preserve"> relevant</w:t>
      </w:r>
      <w:r w:rsidRPr="00F575FF">
        <w:rPr>
          <w:sz w:val="22"/>
          <w:szCs w:val="22"/>
        </w:rPr>
        <w:t xml:space="preserve"> Counterparty</w:t>
      </w:r>
      <w:r w:rsidR="00000E4A" w:rsidRPr="00F575FF">
        <w:rPr>
          <w:sz w:val="22"/>
          <w:szCs w:val="22"/>
        </w:rPr>
        <w:t xml:space="preserve"> Entity</w:t>
      </w:r>
      <w:r w:rsidR="00755F58" w:rsidRPr="00F575FF">
        <w:rPr>
          <w:sz w:val="22"/>
          <w:szCs w:val="22"/>
        </w:rPr>
        <w:t xml:space="preserve"> </w:t>
      </w:r>
      <w:r w:rsidRPr="00F575FF">
        <w:rPr>
          <w:sz w:val="22"/>
          <w:szCs w:val="22"/>
        </w:rPr>
        <w:t xml:space="preserve">that gives rise to a Default Right </w:t>
      </w:r>
      <w:r w:rsidR="00DE5B82" w:rsidRPr="00F575FF">
        <w:rPr>
          <w:sz w:val="22"/>
          <w:szCs w:val="22"/>
        </w:rPr>
        <w:t xml:space="preserve">in </w:t>
      </w:r>
      <w:r w:rsidR="00884310" w:rsidRPr="00F575FF">
        <w:rPr>
          <w:sz w:val="22"/>
          <w:szCs w:val="22"/>
        </w:rPr>
        <w:t>the</w:t>
      </w:r>
      <w:r w:rsidRPr="00F575FF">
        <w:rPr>
          <w:sz w:val="22"/>
          <w:szCs w:val="22"/>
        </w:rPr>
        <w:t xml:space="preserve"> Covered </w:t>
      </w:r>
      <w:r w:rsidR="00DE5B82" w:rsidRPr="00F575FF">
        <w:rPr>
          <w:sz w:val="22"/>
          <w:szCs w:val="22"/>
        </w:rPr>
        <w:t>Agreement</w:t>
      </w:r>
      <w:r w:rsidR="00524DF4" w:rsidRPr="00F575FF">
        <w:rPr>
          <w:sz w:val="22"/>
          <w:szCs w:val="22"/>
        </w:rPr>
        <w:t>, or</w:t>
      </w:r>
    </w:p>
    <w:p w:rsidR="00463029" w:rsidRPr="00F575FF" w:rsidRDefault="005D11B0" w:rsidP="000E2375">
      <w:pPr>
        <w:pStyle w:val="Heading3"/>
        <w:rPr>
          <w:sz w:val="22"/>
          <w:szCs w:val="22"/>
        </w:rPr>
      </w:pPr>
      <w:r w:rsidRPr="00F575FF">
        <w:rPr>
          <w:sz w:val="22"/>
          <w:szCs w:val="22"/>
        </w:rPr>
        <w:t xml:space="preserve">the failure of </w:t>
      </w:r>
      <w:r w:rsidR="00844780" w:rsidRPr="00F575FF">
        <w:rPr>
          <w:sz w:val="22"/>
          <w:szCs w:val="22"/>
        </w:rPr>
        <w:t>a</w:t>
      </w:r>
      <w:r w:rsidR="00755F58" w:rsidRPr="00F575FF">
        <w:rPr>
          <w:sz w:val="22"/>
          <w:szCs w:val="22"/>
        </w:rPr>
        <w:t xml:space="preserve"> </w:t>
      </w:r>
      <w:r w:rsidR="00241FE0" w:rsidRPr="00F575FF">
        <w:rPr>
          <w:sz w:val="22"/>
          <w:szCs w:val="22"/>
        </w:rPr>
        <w:t>Covered Affiliate Support Provider</w:t>
      </w:r>
      <w:r w:rsidRPr="00F575FF">
        <w:rPr>
          <w:sz w:val="22"/>
          <w:szCs w:val="22"/>
        </w:rPr>
        <w:t xml:space="preserve">, or any Transferee thereof, to satisfy a payment or delivery obligation pursuant to any </w:t>
      </w:r>
      <w:r w:rsidR="00241FE0" w:rsidRPr="00F575FF">
        <w:rPr>
          <w:sz w:val="22"/>
          <w:szCs w:val="22"/>
        </w:rPr>
        <w:t>Covered Affiliate Credit Enhancement</w:t>
      </w:r>
      <w:r w:rsidR="00844780" w:rsidRPr="00F575FF">
        <w:rPr>
          <w:sz w:val="22"/>
          <w:szCs w:val="22"/>
        </w:rPr>
        <w:t xml:space="preserve"> that supports</w:t>
      </w:r>
      <w:r w:rsidR="0076360B" w:rsidRPr="00F575FF">
        <w:rPr>
          <w:sz w:val="22"/>
          <w:szCs w:val="22"/>
        </w:rPr>
        <w:t xml:space="preserve"> </w:t>
      </w:r>
      <w:r w:rsidR="00884310" w:rsidRPr="00F575FF">
        <w:rPr>
          <w:sz w:val="22"/>
          <w:szCs w:val="22"/>
        </w:rPr>
        <w:t>the</w:t>
      </w:r>
      <w:r w:rsidR="00844780" w:rsidRPr="00F575FF">
        <w:rPr>
          <w:sz w:val="22"/>
          <w:szCs w:val="22"/>
        </w:rPr>
        <w:t xml:space="preserve"> Covered Direct QFC</w:t>
      </w:r>
      <w:r w:rsidR="009E70D1" w:rsidRPr="00F575FF">
        <w:rPr>
          <w:sz w:val="22"/>
          <w:szCs w:val="22"/>
        </w:rPr>
        <w:t>.</w:t>
      </w:r>
    </w:p>
    <w:p w:rsidR="00463029" w:rsidRPr="00F575FF" w:rsidRDefault="005D11B0" w:rsidP="00241FE0">
      <w:pPr>
        <w:pStyle w:val="Heading2"/>
        <w:rPr>
          <w:sz w:val="22"/>
          <w:szCs w:val="22"/>
        </w:rPr>
      </w:pPr>
      <w:r w:rsidRPr="00F575FF">
        <w:rPr>
          <w:sz w:val="22"/>
          <w:szCs w:val="22"/>
          <w:u w:val="single"/>
        </w:rPr>
        <w:t>Additional Creditor Protections</w:t>
      </w:r>
      <w:r w:rsidRPr="00F575FF">
        <w:rPr>
          <w:sz w:val="22"/>
          <w:szCs w:val="22"/>
        </w:rPr>
        <w:t xml:space="preserve">. </w:t>
      </w:r>
      <w:r w:rsidR="0029540A" w:rsidRPr="00F575FF">
        <w:rPr>
          <w:sz w:val="22"/>
          <w:szCs w:val="22"/>
        </w:rPr>
        <w:t xml:space="preserve">With respect to a Covered Direct QFC that is supported by a </w:t>
      </w:r>
      <w:r w:rsidR="00241FE0" w:rsidRPr="00F575FF">
        <w:rPr>
          <w:sz w:val="22"/>
          <w:szCs w:val="22"/>
        </w:rPr>
        <w:t>Covered Affiliate Credit Enhancement</w:t>
      </w:r>
      <w:r w:rsidR="0029540A" w:rsidRPr="00F575FF">
        <w:rPr>
          <w:sz w:val="22"/>
          <w:szCs w:val="22"/>
        </w:rPr>
        <w:t>, n</w:t>
      </w:r>
      <w:r w:rsidR="00524DF4" w:rsidRPr="00F575FF">
        <w:rPr>
          <w:sz w:val="22"/>
          <w:szCs w:val="22"/>
        </w:rPr>
        <w:t xml:space="preserve">othing in Section </w:t>
      </w:r>
      <w:r w:rsidR="00BB53C3" w:rsidRPr="00F575FF">
        <w:rPr>
          <w:sz w:val="22"/>
          <w:szCs w:val="22"/>
        </w:rPr>
        <w:t>2.1</w:t>
      </w:r>
      <w:r w:rsidRPr="00F575FF">
        <w:rPr>
          <w:sz w:val="22"/>
          <w:szCs w:val="22"/>
        </w:rPr>
        <w:t xml:space="preserve"> shall restrict the exercise by a Counterparty</w:t>
      </w:r>
      <w:r w:rsidR="00000E4A" w:rsidRPr="00F575FF">
        <w:rPr>
          <w:sz w:val="22"/>
          <w:szCs w:val="22"/>
        </w:rPr>
        <w:t xml:space="preserve"> Entity</w:t>
      </w:r>
      <w:r w:rsidRPr="00F575FF">
        <w:rPr>
          <w:sz w:val="22"/>
          <w:szCs w:val="22"/>
        </w:rPr>
        <w:t xml:space="preserve"> </w:t>
      </w:r>
      <w:r w:rsidR="00745DEF" w:rsidRPr="00F575FF">
        <w:rPr>
          <w:sz w:val="22"/>
          <w:szCs w:val="22"/>
        </w:rPr>
        <w:t xml:space="preserve">after the </w:t>
      </w:r>
      <w:r w:rsidR="00991482" w:rsidRPr="00F575FF">
        <w:rPr>
          <w:sz w:val="22"/>
          <w:szCs w:val="22"/>
        </w:rPr>
        <w:t xml:space="preserve">QFC </w:t>
      </w:r>
      <w:r w:rsidR="00745DEF" w:rsidRPr="00F575FF">
        <w:rPr>
          <w:sz w:val="22"/>
          <w:szCs w:val="22"/>
        </w:rPr>
        <w:t>Stay Period</w:t>
      </w:r>
      <w:r w:rsidR="00755F58" w:rsidRPr="00F575FF">
        <w:rPr>
          <w:sz w:val="22"/>
          <w:szCs w:val="22"/>
        </w:rPr>
        <w:t xml:space="preserve"> </w:t>
      </w:r>
      <w:r w:rsidRPr="00F575FF">
        <w:rPr>
          <w:sz w:val="22"/>
          <w:szCs w:val="22"/>
        </w:rPr>
        <w:t>of a Default Right that is related, directly or indirectly, to a</w:t>
      </w:r>
      <w:r w:rsidR="00755F58" w:rsidRPr="00F575FF">
        <w:rPr>
          <w:sz w:val="22"/>
          <w:szCs w:val="22"/>
        </w:rPr>
        <w:t xml:space="preserve"> </w:t>
      </w:r>
      <w:r w:rsidR="00241FE0" w:rsidRPr="00F575FF">
        <w:rPr>
          <w:sz w:val="22"/>
          <w:szCs w:val="22"/>
        </w:rPr>
        <w:t>Covered Affiliate Support Provider</w:t>
      </w:r>
      <w:r w:rsidRPr="00F575FF">
        <w:rPr>
          <w:sz w:val="22"/>
          <w:szCs w:val="22"/>
        </w:rPr>
        <w:t xml:space="preserve"> </w:t>
      </w:r>
      <w:r w:rsidRPr="00F575FF">
        <w:rPr>
          <w:sz w:val="22"/>
          <w:szCs w:val="22"/>
        </w:rPr>
        <w:t xml:space="preserve">becoming subject to </w:t>
      </w:r>
      <w:r w:rsidR="00C00651" w:rsidRPr="00F575FF">
        <w:rPr>
          <w:sz w:val="22"/>
          <w:szCs w:val="22"/>
        </w:rPr>
        <w:t>an Insolvency Proceeding</w:t>
      </w:r>
      <w:r w:rsidRPr="00F575FF">
        <w:rPr>
          <w:sz w:val="22"/>
          <w:szCs w:val="22"/>
        </w:rPr>
        <w:t xml:space="preserve"> if: </w:t>
      </w:r>
    </w:p>
    <w:p w:rsidR="00463029" w:rsidRPr="00F575FF" w:rsidRDefault="005D11B0" w:rsidP="0002616C">
      <w:pPr>
        <w:pStyle w:val="Heading3"/>
        <w:rPr>
          <w:sz w:val="22"/>
          <w:szCs w:val="22"/>
        </w:rPr>
      </w:pPr>
      <w:r w:rsidRPr="00F575FF">
        <w:rPr>
          <w:sz w:val="22"/>
          <w:szCs w:val="22"/>
        </w:rPr>
        <w:t>the</w:t>
      </w:r>
      <w:r w:rsidR="00755F58" w:rsidRPr="00F575FF">
        <w:rPr>
          <w:sz w:val="22"/>
          <w:szCs w:val="22"/>
        </w:rPr>
        <w:t xml:space="preserve"> </w:t>
      </w:r>
      <w:r w:rsidR="00241FE0" w:rsidRPr="00F575FF">
        <w:rPr>
          <w:sz w:val="22"/>
          <w:szCs w:val="22"/>
        </w:rPr>
        <w:t>Covered Affiliate Support Provider</w:t>
      </w:r>
      <w:r w:rsidRPr="00F575FF">
        <w:rPr>
          <w:sz w:val="22"/>
          <w:szCs w:val="22"/>
        </w:rPr>
        <w:t xml:space="preserve"> </w:t>
      </w:r>
      <w:r w:rsidR="00CD3370" w:rsidRPr="00F575FF">
        <w:rPr>
          <w:sz w:val="22"/>
          <w:szCs w:val="22"/>
        </w:rPr>
        <w:t xml:space="preserve">that remains obligated under </w:t>
      </w:r>
      <w:r w:rsidR="00F422AC" w:rsidRPr="00F575FF">
        <w:rPr>
          <w:sz w:val="22"/>
          <w:szCs w:val="22"/>
        </w:rPr>
        <w:t xml:space="preserve">the </w:t>
      </w:r>
      <w:r w:rsidR="00241FE0" w:rsidRPr="00F575FF">
        <w:rPr>
          <w:sz w:val="22"/>
          <w:szCs w:val="22"/>
        </w:rPr>
        <w:t>Covered Affiliate Credit Enhancement</w:t>
      </w:r>
      <w:r w:rsidR="00CD3370" w:rsidRPr="00F575FF">
        <w:rPr>
          <w:sz w:val="22"/>
          <w:szCs w:val="22"/>
        </w:rPr>
        <w:t xml:space="preserve"> </w:t>
      </w:r>
      <w:r w:rsidRPr="00F575FF">
        <w:rPr>
          <w:sz w:val="22"/>
          <w:szCs w:val="22"/>
        </w:rPr>
        <w:t xml:space="preserve">becomes subject to </w:t>
      </w:r>
      <w:r w:rsidR="00C00651" w:rsidRPr="00F575FF">
        <w:rPr>
          <w:sz w:val="22"/>
          <w:szCs w:val="22"/>
        </w:rPr>
        <w:t>an Insolvency Proceeding</w:t>
      </w:r>
      <w:r w:rsidRPr="00F575FF">
        <w:rPr>
          <w:sz w:val="22"/>
          <w:szCs w:val="22"/>
        </w:rPr>
        <w:t xml:space="preserve"> other than a Chapter 11 Proceeding; </w:t>
      </w:r>
    </w:p>
    <w:p w:rsidR="00463029" w:rsidRPr="00F575FF" w:rsidRDefault="005D11B0" w:rsidP="00645CFD">
      <w:pPr>
        <w:pStyle w:val="Heading3"/>
        <w:rPr>
          <w:sz w:val="22"/>
          <w:szCs w:val="22"/>
        </w:rPr>
      </w:pPr>
      <w:r>
        <w:rPr>
          <w:sz w:val="22"/>
          <w:szCs w:val="22"/>
        </w:rPr>
        <w:t>subject to Secti</w:t>
      </w:r>
      <w:r>
        <w:rPr>
          <w:sz w:val="22"/>
          <w:szCs w:val="22"/>
        </w:rPr>
        <w:t>on 2.4,</w:t>
      </w:r>
      <w:r w:rsidR="00DE5B82" w:rsidRPr="00F575FF">
        <w:rPr>
          <w:sz w:val="22"/>
          <w:szCs w:val="22"/>
        </w:rPr>
        <w:t xml:space="preserve"> </w:t>
      </w:r>
      <w:r w:rsidRPr="00F575FF">
        <w:rPr>
          <w:sz w:val="22"/>
          <w:szCs w:val="22"/>
        </w:rPr>
        <w:t xml:space="preserve">the Transferee, if any, becomes subject to </w:t>
      </w:r>
      <w:r w:rsidR="00C00651" w:rsidRPr="00F575FF">
        <w:rPr>
          <w:sz w:val="22"/>
          <w:szCs w:val="22"/>
        </w:rPr>
        <w:t>an Insolvency Proceeding</w:t>
      </w:r>
      <w:r w:rsidRPr="00F575FF">
        <w:rPr>
          <w:sz w:val="22"/>
          <w:szCs w:val="22"/>
        </w:rPr>
        <w:t xml:space="preserve">; </w:t>
      </w:r>
    </w:p>
    <w:p w:rsidR="00463029" w:rsidRPr="00F575FF" w:rsidRDefault="005D11B0" w:rsidP="00051E78">
      <w:pPr>
        <w:pStyle w:val="Heading3"/>
        <w:rPr>
          <w:sz w:val="22"/>
          <w:szCs w:val="22"/>
        </w:rPr>
      </w:pPr>
      <w:r w:rsidRPr="00F575FF">
        <w:rPr>
          <w:sz w:val="22"/>
          <w:szCs w:val="22"/>
        </w:rPr>
        <w:t xml:space="preserve">the </w:t>
      </w:r>
      <w:r w:rsidR="00241FE0" w:rsidRPr="00F575FF">
        <w:rPr>
          <w:sz w:val="22"/>
          <w:szCs w:val="22"/>
        </w:rPr>
        <w:t>Covered Affiliate Support Provider</w:t>
      </w:r>
      <w:r w:rsidRPr="00F575FF">
        <w:rPr>
          <w:sz w:val="22"/>
          <w:szCs w:val="22"/>
        </w:rPr>
        <w:t xml:space="preserve"> does not remain, and a Transferee does not become, obligated to the same, or substantially similar, extent as the</w:t>
      </w:r>
      <w:r w:rsidR="00755F58" w:rsidRPr="00F575FF">
        <w:rPr>
          <w:sz w:val="22"/>
          <w:szCs w:val="22"/>
        </w:rPr>
        <w:t xml:space="preserve"> </w:t>
      </w:r>
      <w:r w:rsidR="00241FE0" w:rsidRPr="00F575FF">
        <w:rPr>
          <w:sz w:val="22"/>
          <w:szCs w:val="22"/>
        </w:rPr>
        <w:t>Covered Affiliate Support Provider</w:t>
      </w:r>
      <w:r w:rsidR="00E01F01" w:rsidRPr="00F575FF">
        <w:rPr>
          <w:sz w:val="22"/>
          <w:szCs w:val="22"/>
        </w:rPr>
        <w:t xml:space="preserve"> </w:t>
      </w:r>
      <w:r w:rsidRPr="00F575FF">
        <w:rPr>
          <w:sz w:val="22"/>
          <w:szCs w:val="22"/>
        </w:rPr>
        <w:t xml:space="preserve">was obligated immediately prior to entering such </w:t>
      </w:r>
      <w:r w:rsidR="009E70D1" w:rsidRPr="00F575FF">
        <w:rPr>
          <w:sz w:val="22"/>
          <w:szCs w:val="22"/>
        </w:rPr>
        <w:t>Insolvency Proceeding</w:t>
      </w:r>
      <w:r w:rsidRPr="00F575FF">
        <w:rPr>
          <w:sz w:val="22"/>
          <w:szCs w:val="22"/>
        </w:rPr>
        <w:t xml:space="preserve"> with respect to: </w:t>
      </w:r>
    </w:p>
    <w:p w:rsidR="00DE5B82" w:rsidRPr="00F575FF" w:rsidRDefault="005D11B0" w:rsidP="00DE5B82">
      <w:pPr>
        <w:pStyle w:val="Heading4"/>
        <w:rPr>
          <w:sz w:val="22"/>
          <w:szCs w:val="22"/>
        </w:rPr>
      </w:pPr>
      <w:r w:rsidRPr="00F575FF">
        <w:rPr>
          <w:sz w:val="22"/>
          <w:szCs w:val="22"/>
        </w:rPr>
        <w:t>such Covered Affiliate Credit Enhancement;</w:t>
      </w:r>
    </w:p>
    <w:p w:rsidR="00463029" w:rsidRPr="00F575FF" w:rsidRDefault="005D11B0" w:rsidP="005D2D7A">
      <w:pPr>
        <w:pStyle w:val="Heading4"/>
        <w:rPr>
          <w:sz w:val="22"/>
          <w:szCs w:val="22"/>
        </w:rPr>
      </w:pPr>
      <w:r w:rsidRPr="00F575FF">
        <w:rPr>
          <w:sz w:val="22"/>
          <w:szCs w:val="22"/>
        </w:rPr>
        <w:t xml:space="preserve">all </w:t>
      </w:r>
      <w:r w:rsidR="00051E78" w:rsidRPr="00F575FF">
        <w:rPr>
          <w:sz w:val="22"/>
          <w:szCs w:val="22"/>
        </w:rPr>
        <w:t xml:space="preserve">other </w:t>
      </w:r>
      <w:r w:rsidR="00241FE0" w:rsidRPr="00F575FF">
        <w:rPr>
          <w:sz w:val="22"/>
          <w:szCs w:val="22"/>
        </w:rPr>
        <w:t>Covered Affiliate Credit Enhancement</w:t>
      </w:r>
      <w:r w:rsidRPr="00F575FF">
        <w:rPr>
          <w:sz w:val="22"/>
          <w:szCs w:val="22"/>
        </w:rPr>
        <w:t xml:space="preserve">s provided by </w:t>
      </w:r>
      <w:r w:rsidR="00051E78" w:rsidRPr="00F575FF">
        <w:rPr>
          <w:sz w:val="22"/>
          <w:szCs w:val="22"/>
        </w:rPr>
        <w:t>the</w:t>
      </w:r>
      <w:r w:rsidRPr="00F575FF">
        <w:rPr>
          <w:sz w:val="22"/>
          <w:szCs w:val="22"/>
        </w:rPr>
        <w:t xml:space="preserve"> </w:t>
      </w:r>
      <w:r w:rsidR="00241FE0" w:rsidRPr="00F575FF">
        <w:rPr>
          <w:sz w:val="22"/>
          <w:szCs w:val="22"/>
        </w:rPr>
        <w:t>Covered Affiliate Support Provider</w:t>
      </w:r>
      <w:r w:rsidRPr="00F575FF">
        <w:rPr>
          <w:sz w:val="22"/>
          <w:szCs w:val="22"/>
        </w:rPr>
        <w:t xml:space="preserve"> in support of </w:t>
      </w:r>
      <w:r w:rsidR="00DE5B82" w:rsidRPr="00F575FF">
        <w:rPr>
          <w:sz w:val="22"/>
          <w:szCs w:val="22"/>
        </w:rPr>
        <w:t xml:space="preserve">other </w:t>
      </w:r>
      <w:r w:rsidR="00E01F01" w:rsidRPr="00F575FF">
        <w:rPr>
          <w:sz w:val="22"/>
          <w:szCs w:val="22"/>
        </w:rPr>
        <w:t xml:space="preserve">Covered </w:t>
      </w:r>
      <w:r w:rsidRPr="00F575FF">
        <w:rPr>
          <w:sz w:val="22"/>
          <w:szCs w:val="22"/>
        </w:rPr>
        <w:t xml:space="preserve">Direct QFCs between the </w:t>
      </w:r>
      <w:r w:rsidR="005D2D7A" w:rsidRPr="00F575FF">
        <w:rPr>
          <w:sz w:val="22"/>
          <w:szCs w:val="22"/>
        </w:rPr>
        <w:t xml:space="preserve">Direct Party </w:t>
      </w:r>
      <w:r w:rsidRPr="00F575FF">
        <w:rPr>
          <w:sz w:val="22"/>
          <w:szCs w:val="22"/>
        </w:rPr>
        <w:t xml:space="preserve">and the </w:t>
      </w:r>
      <w:r w:rsidR="005C1188" w:rsidRPr="00F575FF">
        <w:rPr>
          <w:sz w:val="22"/>
          <w:szCs w:val="22"/>
        </w:rPr>
        <w:t xml:space="preserve">supported </w:t>
      </w:r>
      <w:r w:rsidRPr="00F575FF">
        <w:rPr>
          <w:sz w:val="22"/>
          <w:szCs w:val="22"/>
        </w:rPr>
        <w:t>Counterparty</w:t>
      </w:r>
      <w:r w:rsidR="00000E4A" w:rsidRPr="00F575FF">
        <w:rPr>
          <w:sz w:val="22"/>
          <w:szCs w:val="22"/>
        </w:rPr>
        <w:t xml:space="preserve"> Entity</w:t>
      </w:r>
      <w:r w:rsidR="00B97705">
        <w:rPr>
          <w:sz w:val="22"/>
          <w:szCs w:val="22"/>
        </w:rPr>
        <w:t xml:space="preserve"> under the Covered Affiliate Credit Enhancement referenced in (i) above</w:t>
      </w:r>
      <w:r w:rsidRPr="00F575FF">
        <w:rPr>
          <w:sz w:val="22"/>
          <w:szCs w:val="22"/>
        </w:rPr>
        <w:t>; and</w:t>
      </w:r>
    </w:p>
    <w:p w:rsidR="00463029" w:rsidRPr="00F575FF" w:rsidRDefault="005D11B0" w:rsidP="005D2D7A">
      <w:pPr>
        <w:pStyle w:val="Heading4"/>
        <w:rPr>
          <w:sz w:val="22"/>
          <w:szCs w:val="22"/>
        </w:rPr>
      </w:pPr>
      <w:r w:rsidRPr="00F575FF">
        <w:rPr>
          <w:sz w:val="22"/>
          <w:szCs w:val="22"/>
        </w:rPr>
        <w:t xml:space="preserve">all </w:t>
      </w:r>
      <w:r w:rsidR="00241FE0" w:rsidRPr="00F575FF">
        <w:rPr>
          <w:sz w:val="22"/>
          <w:szCs w:val="22"/>
        </w:rPr>
        <w:t>Covered Affiliate Credit Enhancement</w:t>
      </w:r>
      <w:r w:rsidRPr="00F575FF">
        <w:rPr>
          <w:sz w:val="22"/>
          <w:szCs w:val="22"/>
        </w:rPr>
        <w:t xml:space="preserve">s provided by </w:t>
      </w:r>
      <w:r w:rsidR="00051E78" w:rsidRPr="00F575FF">
        <w:rPr>
          <w:sz w:val="22"/>
          <w:szCs w:val="22"/>
        </w:rPr>
        <w:t>the</w:t>
      </w:r>
      <w:r w:rsidR="00755F58" w:rsidRPr="00F575FF">
        <w:rPr>
          <w:sz w:val="22"/>
          <w:szCs w:val="22"/>
        </w:rPr>
        <w:t xml:space="preserve"> </w:t>
      </w:r>
      <w:r w:rsidR="00241FE0" w:rsidRPr="00F575FF">
        <w:rPr>
          <w:sz w:val="22"/>
          <w:szCs w:val="22"/>
        </w:rPr>
        <w:t>Covered Affiliate Support Provider</w:t>
      </w:r>
      <w:r w:rsidR="00E01F01" w:rsidRPr="00F575FF">
        <w:rPr>
          <w:sz w:val="22"/>
          <w:szCs w:val="22"/>
        </w:rPr>
        <w:t xml:space="preserve"> </w:t>
      </w:r>
      <w:r w:rsidRPr="00F575FF">
        <w:rPr>
          <w:sz w:val="22"/>
          <w:szCs w:val="22"/>
        </w:rPr>
        <w:t xml:space="preserve">in support of </w:t>
      </w:r>
      <w:r w:rsidR="00E01F01" w:rsidRPr="00F575FF">
        <w:rPr>
          <w:sz w:val="22"/>
          <w:szCs w:val="22"/>
        </w:rPr>
        <w:t xml:space="preserve">Covered </w:t>
      </w:r>
      <w:r w:rsidRPr="00F575FF">
        <w:rPr>
          <w:sz w:val="22"/>
          <w:szCs w:val="22"/>
        </w:rPr>
        <w:t xml:space="preserve">Direct QFCs between the </w:t>
      </w:r>
      <w:r w:rsidR="005D2D7A" w:rsidRPr="00F575FF">
        <w:rPr>
          <w:sz w:val="22"/>
          <w:szCs w:val="22"/>
        </w:rPr>
        <w:t>Direct Party</w:t>
      </w:r>
      <w:r w:rsidR="00524DF4" w:rsidRPr="00F575FF">
        <w:rPr>
          <w:sz w:val="22"/>
          <w:szCs w:val="22"/>
        </w:rPr>
        <w:t xml:space="preserve"> and </w:t>
      </w:r>
      <w:r w:rsidR="000560B8" w:rsidRPr="00F575FF">
        <w:rPr>
          <w:sz w:val="22"/>
          <w:szCs w:val="22"/>
        </w:rPr>
        <w:t>Counterparty</w:t>
      </w:r>
      <w:r w:rsidRPr="00F575FF">
        <w:rPr>
          <w:sz w:val="22"/>
          <w:szCs w:val="22"/>
        </w:rPr>
        <w:t xml:space="preserve"> Affiliates of the </w:t>
      </w:r>
      <w:r w:rsidR="005C1188" w:rsidRPr="00F575FF">
        <w:rPr>
          <w:sz w:val="22"/>
          <w:szCs w:val="22"/>
        </w:rPr>
        <w:t xml:space="preserve">supported </w:t>
      </w:r>
      <w:r w:rsidRPr="00F575FF">
        <w:rPr>
          <w:sz w:val="22"/>
          <w:szCs w:val="22"/>
        </w:rPr>
        <w:t>Counterparty</w:t>
      </w:r>
      <w:r w:rsidR="00000E4A" w:rsidRPr="00F575FF">
        <w:rPr>
          <w:sz w:val="22"/>
          <w:szCs w:val="22"/>
        </w:rPr>
        <w:t xml:space="preserve"> Entity</w:t>
      </w:r>
      <w:r w:rsidR="00B97705">
        <w:rPr>
          <w:sz w:val="22"/>
          <w:szCs w:val="22"/>
        </w:rPr>
        <w:t xml:space="preserve"> referenced in (ii) above</w:t>
      </w:r>
      <w:r w:rsidRPr="00F575FF">
        <w:rPr>
          <w:sz w:val="22"/>
          <w:szCs w:val="22"/>
        </w:rPr>
        <w:t xml:space="preserve">; or </w:t>
      </w:r>
    </w:p>
    <w:p w:rsidR="00463029" w:rsidRPr="00F575FF" w:rsidRDefault="005D11B0" w:rsidP="0002616C">
      <w:pPr>
        <w:pStyle w:val="Heading3"/>
        <w:rPr>
          <w:sz w:val="22"/>
          <w:szCs w:val="22"/>
        </w:rPr>
      </w:pPr>
      <w:r w:rsidRPr="00F575FF">
        <w:rPr>
          <w:sz w:val="22"/>
          <w:szCs w:val="22"/>
        </w:rPr>
        <w:t xml:space="preserve">in the case </w:t>
      </w:r>
      <w:r w:rsidR="00E01F01" w:rsidRPr="00F575FF">
        <w:rPr>
          <w:sz w:val="22"/>
          <w:szCs w:val="22"/>
        </w:rPr>
        <w:t xml:space="preserve">that the </w:t>
      </w:r>
      <w:r w:rsidR="00241FE0" w:rsidRPr="00F575FF">
        <w:rPr>
          <w:sz w:val="22"/>
          <w:szCs w:val="22"/>
        </w:rPr>
        <w:t>Covered Affiliate Credit Enhancement</w:t>
      </w:r>
      <w:r w:rsidR="00FB7B90" w:rsidRPr="00F575FF">
        <w:rPr>
          <w:sz w:val="22"/>
          <w:szCs w:val="22"/>
        </w:rPr>
        <w:t xml:space="preserve"> is transferred </w:t>
      </w:r>
      <w:r w:rsidRPr="00F575FF">
        <w:rPr>
          <w:sz w:val="22"/>
          <w:szCs w:val="22"/>
        </w:rPr>
        <w:t xml:space="preserve">to a Transferee: </w:t>
      </w:r>
    </w:p>
    <w:p w:rsidR="00463029" w:rsidRPr="00F575FF" w:rsidRDefault="005D11B0" w:rsidP="00DE5B82">
      <w:pPr>
        <w:pStyle w:val="Heading4"/>
        <w:rPr>
          <w:sz w:val="22"/>
          <w:szCs w:val="22"/>
        </w:rPr>
      </w:pPr>
      <w:r w:rsidRPr="00F575FF">
        <w:rPr>
          <w:sz w:val="22"/>
          <w:szCs w:val="22"/>
        </w:rPr>
        <w:t>all of the</w:t>
      </w:r>
      <w:r w:rsidRPr="00F575FF">
        <w:rPr>
          <w:sz w:val="22"/>
          <w:szCs w:val="22"/>
        </w:rPr>
        <w:t xml:space="preserve"> ownership interests of the </w:t>
      </w:r>
      <w:r w:rsidR="00DE5B82" w:rsidRPr="00F575FF">
        <w:rPr>
          <w:sz w:val="22"/>
          <w:szCs w:val="22"/>
        </w:rPr>
        <w:t>Direct Party</w:t>
      </w:r>
      <w:r w:rsidRPr="00F575FF">
        <w:rPr>
          <w:sz w:val="22"/>
          <w:szCs w:val="22"/>
        </w:rPr>
        <w:t xml:space="preserve"> directly or indirectly held by </w:t>
      </w:r>
      <w:r w:rsidR="00051E78" w:rsidRPr="00F575FF">
        <w:rPr>
          <w:sz w:val="22"/>
          <w:szCs w:val="22"/>
        </w:rPr>
        <w:t>the</w:t>
      </w:r>
      <w:r w:rsidR="00FB7B90" w:rsidRPr="00F575FF">
        <w:rPr>
          <w:sz w:val="22"/>
          <w:szCs w:val="22"/>
        </w:rPr>
        <w:t xml:space="preserve"> </w:t>
      </w:r>
      <w:r w:rsidR="00241FE0" w:rsidRPr="00F575FF">
        <w:rPr>
          <w:sz w:val="22"/>
          <w:szCs w:val="22"/>
        </w:rPr>
        <w:t>Covered Affiliate Support Provider</w:t>
      </w:r>
      <w:r w:rsidRPr="00F575FF">
        <w:rPr>
          <w:sz w:val="22"/>
          <w:szCs w:val="22"/>
        </w:rPr>
        <w:t xml:space="preserve"> are not transferred to the Transferee; or </w:t>
      </w:r>
    </w:p>
    <w:p w:rsidR="00463029" w:rsidRPr="00F575FF" w:rsidRDefault="005D11B0" w:rsidP="00D521BF">
      <w:pPr>
        <w:pStyle w:val="Heading4"/>
        <w:rPr>
          <w:sz w:val="22"/>
          <w:szCs w:val="22"/>
        </w:rPr>
      </w:pPr>
      <w:r w:rsidRPr="00F575FF">
        <w:rPr>
          <w:sz w:val="22"/>
          <w:szCs w:val="22"/>
        </w:rPr>
        <w:t xml:space="preserve">reasonable assurance has not been provided that all or substantially all of the assets of </w:t>
      </w:r>
      <w:r w:rsidR="00051E78" w:rsidRPr="00F575FF">
        <w:rPr>
          <w:sz w:val="22"/>
          <w:szCs w:val="22"/>
        </w:rPr>
        <w:t>the</w:t>
      </w:r>
      <w:r w:rsidR="00FB7B90" w:rsidRPr="00F575FF">
        <w:rPr>
          <w:sz w:val="22"/>
          <w:szCs w:val="22"/>
        </w:rPr>
        <w:t xml:space="preserve"> </w:t>
      </w:r>
      <w:r w:rsidR="00241FE0" w:rsidRPr="00F575FF">
        <w:rPr>
          <w:sz w:val="22"/>
          <w:szCs w:val="22"/>
        </w:rPr>
        <w:t>Covered Affiliate Support Provider</w:t>
      </w:r>
      <w:r w:rsidRPr="00F575FF">
        <w:rPr>
          <w:sz w:val="22"/>
          <w:szCs w:val="22"/>
        </w:rPr>
        <w:t xml:space="preserve"> (or net proceeds therefrom), excluding any assets reserved for the payment of costs and expenses of administration in the </w:t>
      </w:r>
      <w:r w:rsidR="009E70D1" w:rsidRPr="00F575FF">
        <w:rPr>
          <w:sz w:val="22"/>
          <w:szCs w:val="22"/>
        </w:rPr>
        <w:t>Insolvency Proceeding</w:t>
      </w:r>
      <w:r w:rsidRPr="00F575FF">
        <w:rPr>
          <w:sz w:val="22"/>
          <w:szCs w:val="22"/>
        </w:rPr>
        <w:t>, will be transferred or sold to the Transferee in a timely manner.</w:t>
      </w:r>
    </w:p>
    <w:p w:rsidR="00463029" w:rsidRPr="00F575FF" w:rsidRDefault="005D11B0" w:rsidP="00D521BF">
      <w:pPr>
        <w:pStyle w:val="Heading2"/>
        <w:rPr>
          <w:sz w:val="22"/>
          <w:szCs w:val="22"/>
        </w:rPr>
      </w:pPr>
      <w:r w:rsidRPr="00F575FF">
        <w:rPr>
          <w:sz w:val="22"/>
          <w:szCs w:val="22"/>
          <w:u w:val="single"/>
        </w:rPr>
        <w:t>Limitation on Exer</w:t>
      </w:r>
      <w:r w:rsidRPr="00F575FF">
        <w:rPr>
          <w:sz w:val="22"/>
          <w:szCs w:val="22"/>
          <w:u w:val="single"/>
        </w:rPr>
        <w:t xml:space="preserve">cise of Certain Default Rights Upon Entry of </w:t>
      </w:r>
      <w:r w:rsidR="009D7AF5" w:rsidRPr="00F575FF">
        <w:rPr>
          <w:sz w:val="22"/>
          <w:szCs w:val="22"/>
          <w:u w:val="single"/>
        </w:rPr>
        <w:t>a BHC</w:t>
      </w:r>
      <w:r w:rsidR="005B25BA" w:rsidRPr="00F575FF">
        <w:rPr>
          <w:sz w:val="22"/>
          <w:szCs w:val="22"/>
          <w:u w:val="single"/>
        </w:rPr>
        <w:t>A</w:t>
      </w:r>
      <w:r w:rsidR="00055C51" w:rsidRPr="00F575FF">
        <w:rPr>
          <w:sz w:val="22"/>
          <w:szCs w:val="22"/>
          <w:u w:val="single"/>
        </w:rPr>
        <w:t xml:space="preserve"> </w:t>
      </w:r>
      <w:r w:rsidRPr="00F575FF">
        <w:rPr>
          <w:sz w:val="22"/>
          <w:szCs w:val="22"/>
          <w:u w:val="single"/>
        </w:rPr>
        <w:t xml:space="preserve">Affiliate Into </w:t>
      </w:r>
      <w:r w:rsidR="00A33C38" w:rsidRPr="00F575FF">
        <w:rPr>
          <w:sz w:val="22"/>
          <w:szCs w:val="22"/>
          <w:u w:val="single"/>
        </w:rPr>
        <w:t>FDI</w:t>
      </w:r>
      <w:r w:rsidR="00D86C19" w:rsidRPr="00F575FF">
        <w:rPr>
          <w:sz w:val="22"/>
          <w:szCs w:val="22"/>
          <w:u w:val="single"/>
        </w:rPr>
        <w:t xml:space="preserve"> Act</w:t>
      </w:r>
      <w:r w:rsidRPr="00F575FF">
        <w:rPr>
          <w:sz w:val="22"/>
          <w:szCs w:val="22"/>
          <w:u w:val="single"/>
        </w:rPr>
        <w:t xml:space="preserve"> Proceedings</w:t>
      </w:r>
      <w:r w:rsidRPr="00F575FF">
        <w:rPr>
          <w:sz w:val="22"/>
          <w:szCs w:val="22"/>
        </w:rPr>
        <w:t xml:space="preserve">. </w:t>
      </w:r>
      <w:r w:rsidR="00603008" w:rsidRPr="00F575FF">
        <w:rPr>
          <w:sz w:val="22"/>
          <w:szCs w:val="22"/>
        </w:rPr>
        <w:t>Notwithstanding anyth</w:t>
      </w:r>
      <w:r w:rsidR="00E01F01" w:rsidRPr="00F575FF">
        <w:rPr>
          <w:sz w:val="22"/>
          <w:szCs w:val="22"/>
        </w:rPr>
        <w:t>ing to the contrary in Section</w:t>
      </w:r>
      <w:r w:rsidR="00235D6A" w:rsidRPr="00F575FF">
        <w:rPr>
          <w:sz w:val="22"/>
          <w:szCs w:val="22"/>
        </w:rPr>
        <w:t>s</w:t>
      </w:r>
      <w:r w:rsidR="00E01F01" w:rsidRPr="00F575FF">
        <w:rPr>
          <w:sz w:val="22"/>
          <w:szCs w:val="22"/>
        </w:rPr>
        <w:t xml:space="preserve"> </w:t>
      </w:r>
      <w:r w:rsidR="00BB53C3" w:rsidRPr="00F575FF">
        <w:rPr>
          <w:sz w:val="22"/>
          <w:szCs w:val="22"/>
        </w:rPr>
        <w:t xml:space="preserve">2.1, 2.2 </w:t>
      </w:r>
      <w:r w:rsidR="00055C51" w:rsidRPr="00F575FF">
        <w:rPr>
          <w:sz w:val="22"/>
          <w:szCs w:val="22"/>
        </w:rPr>
        <w:t>or</w:t>
      </w:r>
      <w:r w:rsidR="00235D6A" w:rsidRPr="00F575FF">
        <w:rPr>
          <w:sz w:val="22"/>
          <w:szCs w:val="22"/>
        </w:rPr>
        <w:t xml:space="preserve"> </w:t>
      </w:r>
      <w:r w:rsidR="00BB53C3" w:rsidRPr="00F575FF">
        <w:rPr>
          <w:sz w:val="22"/>
          <w:szCs w:val="22"/>
        </w:rPr>
        <w:t>2.3</w:t>
      </w:r>
      <w:r w:rsidR="00E01F01" w:rsidRPr="00F575FF">
        <w:rPr>
          <w:sz w:val="22"/>
          <w:szCs w:val="22"/>
        </w:rPr>
        <w:t xml:space="preserve">, with respect to </w:t>
      </w:r>
      <w:r w:rsidR="00603008" w:rsidRPr="00F575FF">
        <w:rPr>
          <w:sz w:val="22"/>
          <w:szCs w:val="22"/>
        </w:rPr>
        <w:t>a Covered</w:t>
      </w:r>
      <w:r w:rsidR="00E01F01" w:rsidRPr="00F575FF">
        <w:rPr>
          <w:sz w:val="22"/>
          <w:szCs w:val="22"/>
        </w:rPr>
        <w:t xml:space="preserve"> Direct QFC </w:t>
      </w:r>
      <w:r w:rsidR="00235D6A" w:rsidRPr="00F575FF">
        <w:rPr>
          <w:sz w:val="22"/>
          <w:szCs w:val="22"/>
        </w:rPr>
        <w:t>that is</w:t>
      </w:r>
      <w:r w:rsidR="00E01F01" w:rsidRPr="00F575FF">
        <w:rPr>
          <w:sz w:val="22"/>
          <w:szCs w:val="22"/>
        </w:rPr>
        <w:t xml:space="preserve"> supported by a </w:t>
      </w:r>
      <w:r w:rsidR="00241FE0" w:rsidRPr="00F575FF">
        <w:rPr>
          <w:sz w:val="22"/>
          <w:szCs w:val="22"/>
        </w:rPr>
        <w:t>Covered Affiliate Credit Enhancement</w:t>
      </w:r>
      <w:r w:rsidR="00603008" w:rsidRPr="00F575FF">
        <w:rPr>
          <w:sz w:val="22"/>
          <w:szCs w:val="22"/>
        </w:rPr>
        <w:t xml:space="preserve">, </w:t>
      </w:r>
      <w:r w:rsidR="00235D6A" w:rsidRPr="00F575FF">
        <w:rPr>
          <w:sz w:val="22"/>
          <w:szCs w:val="22"/>
        </w:rPr>
        <w:t xml:space="preserve">the </w:t>
      </w:r>
      <w:r w:rsidRPr="00F575FF">
        <w:rPr>
          <w:sz w:val="22"/>
          <w:szCs w:val="22"/>
        </w:rPr>
        <w:t>Counterparty</w:t>
      </w:r>
      <w:r w:rsidR="00000E4A" w:rsidRPr="00F575FF">
        <w:rPr>
          <w:sz w:val="22"/>
          <w:szCs w:val="22"/>
        </w:rPr>
        <w:t xml:space="preserve"> Entity</w:t>
      </w:r>
      <w:r w:rsidRPr="00F575FF">
        <w:rPr>
          <w:sz w:val="22"/>
          <w:szCs w:val="22"/>
        </w:rPr>
        <w:t xml:space="preserve"> </w:t>
      </w:r>
      <w:r w:rsidR="00235D6A" w:rsidRPr="00F575FF">
        <w:rPr>
          <w:sz w:val="22"/>
          <w:szCs w:val="22"/>
        </w:rPr>
        <w:t xml:space="preserve">supported by such </w:t>
      </w:r>
      <w:r w:rsidR="00241FE0" w:rsidRPr="00F575FF">
        <w:rPr>
          <w:sz w:val="22"/>
          <w:szCs w:val="22"/>
        </w:rPr>
        <w:t>Covered Affiliate Credit Enhancement</w:t>
      </w:r>
      <w:r w:rsidR="00235D6A" w:rsidRPr="00F575FF">
        <w:rPr>
          <w:sz w:val="22"/>
          <w:szCs w:val="22"/>
        </w:rPr>
        <w:t xml:space="preserve"> </w:t>
      </w:r>
      <w:r w:rsidR="00E01F01" w:rsidRPr="00F575FF">
        <w:rPr>
          <w:sz w:val="22"/>
          <w:szCs w:val="22"/>
        </w:rPr>
        <w:t xml:space="preserve">may </w:t>
      </w:r>
      <w:r w:rsidR="00603008" w:rsidRPr="00F575FF">
        <w:rPr>
          <w:sz w:val="22"/>
          <w:szCs w:val="22"/>
        </w:rPr>
        <w:t xml:space="preserve">exercise </w:t>
      </w:r>
      <w:r w:rsidRPr="00F575FF">
        <w:rPr>
          <w:sz w:val="22"/>
          <w:szCs w:val="22"/>
        </w:rPr>
        <w:t xml:space="preserve">a Default Right that is </w:t>
      </w:r>
      <w:r w:rsidRPr="00F575FF">
        <w:rPr>
          <w:sz w:val="22"/>
          <w:szCs w:val="22"/>
        </w:rPr>
        <w:lastRenderedPageBreak/>
        <w:t xml:space="preserve">related, directly or indirectly, to </w:t>
      </w:r>
      <w:r w:rsidR="00E01F01" w:rsidRPr="00F575FF">
        <w:rPr>
          <w:sz w:val="22"/>
          <w:szCs w:val="22"/>
        </w:rPr>
        <w:t xml:space="preserve">the </w:t>
      </w:r>
      <w:r w:rsidR="00241FE0" w:rsidRPr="00F575FF">
        <w:rPr>
          <w:sz w:val="22"/>
          <w:szCs w:val="22"/>
        </w:rPr>
        <w:t>Covered Affiliate Support Provider</w:t>
      </w:r>
      <w:r w:rsidR="00E01F01" w:rsidRPr="00F575FF">
        <w:rPr>
          <w:sz w:val="22"/>
          <w:szCs w:val="22"/>
        </w:rPr>
        <w:t xml:space="preserve"> </w:t>
      </w:r>
      <w:r w:rsidRPr="00F575FF">
        <w:rPr>
          <w:sz w:val="22"/>
          <w:szCs w:val="22"/>
        </w:rPr>
        <w:t xml:space="preserve">becoming subject to proceedings under the </w:t>
      </w:r>
      <w:r w:rsidR="00A33C38" w:rsidRPr="00F575FF">
        <w:rPr>
          <w:sz w:val="22"/>
          <w:szCs w:val="22"/>
        </w:rPr>
        <w:t>FDI</w:t>
      </w:r>
      <w:r w:rsidR="00D86C19" w:rsidRPr="00F575FF">
        <w:rPr>
          <w:sz w:val="22"/>
          <w:szCs w:val="22"/>
        </w:rPr>
        <w:t xml:space="preserve"> Act</w:t>
      </w:r>
      <w:r w:rsidRPr="00F575FF">
        <w:rPr>
          <w:sz w:val="22"/>
          <w:szCs w:val="22"/>
        </w:rPr>
        <w:t xml:space="preserve">: </w:t>
      </w:r>
    </w:p>
    <w:p w:rsidR="00463029" w:rsidRPr="00F575FF" w:rsidRDefault="005D11B0" w:rsidP="00235D6A">
      <w:pPr>
        <w:pStyle w:val="Heading3"/>
        <w:rPr>
          <w:sz w:val="22"/>
          <w:szCs w:val="22"/>
        </w:rPr>
      </w:pPr>
      <w:r w:rsidRPr="00F575FF">
        <w:rPr>
          <w:sz w:val="22"/>
          <w:szCs w:val="22"/>
        </w:rPr>
        <w:t>after the FDI</w:t>
      </w:r>
      <w:r w:rsidRPr="00F575FF">
        <w:rPr>
          <w:sz w:val="22"/>
          <w:szCs w:val="22"/>
        </w:rPr>
        <w:t xml:space="preserve"> Act Stay Period, if </w:t>
      </w:r>
      <w:r w:rsidR="00235D6A" w:rsidRPr="00F575FF">
        <w:rPr>
          <w:sz w:val="22"/>
          <w:szCs w:val="22"/>
        </w:rPr>
        <w:t>such</w:t>
      </w:r>
      <w:r w:rsidRPr="00F575FF">
        <w:rPr>
          <w:sz w:val="22"/>
          <w:szCs w:val="22"/>
        </w:rPr>
        <w:t xml:space="preserve"> </w:t>
      </w:r>
      <w:r w:rsidR="00241FE0" w:rsidRPr="00F575FF">
        <w:rPr>
          <w:sz w:val="22"/>
          <w:szCs w:val="22"/>
        </w:rPr>
        <w:t>Covered Affiliate Credit Enhancement</w:t>
      </w:r>
      <w:r w:rsidRPr="00F575FF">
        <w:rPr>
          <w:sz w:val="22"/>
          <w:szCs w:val="22"/>
        </w:rPr>
        <w:t xml:space="preserve"> is not transferred p</w:t>
      </w:r>
      <w:r w:rsidR="00A31AF3" w:rsidRPr="00F575FF">
        <w:rPr>
          <w:sz w:val="22"/>
          <w:szCs w:val="22"/>
        </w:rPr>
        <w:t>ursuant to 12 U.S.C. 1821(e)(9)</w:t>
      </w:r>
      <w:r w:rsidRPr="00F575FF">
        <w:rPr>
          <w:sz w:val="22"/>
          <w:szCs w:val="22"/>
        </w:rPr>
        <w:t>–(e)(10) and any regulation</w:t>
      </w:r>
      <w:r w:rsidR="00A31AF3" w:rsidRPr="00F575FF">
        <w:rPr>
          <w:sz w:val="22"/>
          <w:szCs w:val="22"/>
        </w:rPr>
        <w:t>s</w:t>
      </w:r>
      <w:r w:rsidRPr="00F575FF">
        <w:rPr>
          <w:sz w:val="22"/>
          <w:szCs w:val="22"/>
        </w:rPr>
        <w:t xml:space="preserve"> promulgated thereunder; </w:t>
      </w:r>
      <w:r w:rsidR="003E5253" w:rsidRPr="00F575FF">
        <w:rPr>
          <w:sz w:val="22"/>
          <w:szCs w:val="22"/>
        </w:rPr>
        <w:t>or</w:t>
      </w:r>
      <w:r w:rsidRPr="00F575FF">
        <w:rPr>
          <w:sz w:val="22"/>
          <w:szCs w:val="22"/>
        </w:rPr>
        <w:t xml:space="preserve"> </w:t>
      </w:r>
    </w:p>
    <w:p w:rsidR="00463029" w:rsidRPr="00F575FF" w:rsidRDefault="005D11B0" w:rsidP="00D521BF">
      <w:pPr>
        <w:pStyle w:val="Heading3"/>
        <w:rPr>
          <w:sz w:val="22"/>
          <w:szCs w:val="22"/>
        </w:rPr>
      </w:pPr>
      <w:r w:rsidRPr="00F575FF">
        <w:rPr>
          <w:sz w:val="22"/>
          <w:szCs w:val="22"/>
        </w:rPr>
        <w:t>d</w:t>
      </w:r>
      <w:r w:rsidRPr="00F575FF">
        <w:rPr>
          <w:rStyle w:val="Heading3Char"/>
          <w:sz w:val="22"/>
          <w:szCs w:val="22"/>
        </w:rPr>
        <w:t>uring the FDI Act Stay Period, if the Default Right may only be exercised so as t</w:t>
      </w:r>
      <w:r w:rsidRPr="00F575FF">
        <w:rPr>
          <w:sz w:val="22"/>
          <w:szCs w:val="22"/>
        </w:rPr>
        <w:t>o p</w:t>
      </w:r>
      <w:r w:rsidRPr="00F575FF">
        <w:rPr>
          <w:sz w:val="22"/>
          <w:szCs w:val="22"/>
        </w:rPr>
        <w:t xml:space="preserve">ermit </w:t>
      </w:r>
      <w:r w:rsidR="00235D6A" w:rsidRPr="00F575FF">
        <w:rPr>
          <w:sz w:val="22"/>
          <w:szCs w:val="22"/>
        </w:rPr>
        <w:t>such</w:t>
      </w:r>
      <w:r w:rsidRPr="00F575FF">
        <w:rPr>
          <w:sz w:val="22"/>
          <w:szCs w:val="22"/>
        </w:rPr>
        <w:t xml:space="preserve"> Counterparty</w:t>
      </w:r>
      <w:r w:rsidR="00000E4A" w:rsidRPr="00F575FF">
        <w:rPr>
          <w:sz w:val="22"/>
          <w:szCs w:val="22"/>
        </w:rPr>
        <w:t xml:space="preserve"> Entity</w:t>
      </w:r>
      <w:r w:rsidRPr="00F575FF">
        <w:rPr>
          <w:sz w:val="22"/>
          <w:szCs w:val="22"/>
        </w:rPr>
        <w:t xml:space="preserve"> to suspend performance with respect to </w:t>
      </w:r>
      <w:r w:rsidR="00235D6A" w:rsidRPr="00F575FF">
        <w:rPr>
          <w:sz w:val="22"/>
          <w:szCs w:val="22"/>
        </w:rPr>
        <w:t xml:space="preserve">such </w:t>
      </w:r>
      <w:r w:rsidRPr="00F575FF">
        <w:rPr>
          <w:sz w:val="22"/>
          <w:szCs w:val="22"/>
        </w:rPr>
        <w:t>Counterparty</w:t>
      </w:r>
      <w:r w:rsidR="00000E4A" w:rsidRPr="00F575FF">
        <w:rPr>
          <w:sz w:val="22"/>
          <w:szCs w:val="22"/>
        </w:rPr>
        <w:t xml:space="preserve"> Entity</w:t>
      </w:r>
      <w:r w:rsidRPr="00F575FF">
        <w:rPr>
          <w:sz w:val="22"/>
          <w:szCs w:val="22"/>
        </w:rPr>
        <w:t xml:space="preserve">’s obligations under the </w:t>
      </w:r>
      <w:r w:rsidR="00A31AF3" w:rsidRPr="00F575FF">
        <w:rPr>
          <w:sz w:val="22"/>
          <w:szCs w:val="22"/>
        </w:rPr>
        <w:t xml:space="preserve">Covered </w:t>
      </w:r>
      <w:r w:rsidRPr="00F575FF">
        <w:rPr>
          <w:sz w:val="22"/>
          <w:szCs w:val="22"/>
        </w:rPr>
        <w:t xml:space="preserve">Direct QFC to the same extent as </w:t>
      </w:r>
      <w:r w:rsidR="00235D6A" w:rsidRPr="00F575FF">
        <w:rPr>
          <w:sz w:val="22"/>
          <w:szCs w:val="22"/>
        </w:rPr>
        <w:t xml:space="preserve">such </w:t>
      </w:r>
      <w:r w:rsidRPr="00F575FF">
        <w:rPr>
          <w:sz w:val="22"/>
          <w:szCs w:val="22"/>
        </w:rPr>
        <w:t>Counterparty</w:t>
      </w:r>
      <w:r w:rsidR="00000E4A" w:rsidRPr="00F575FF">
        <w:rPr>
          <w:sz w:val="22"/>
          <w:szCs w:val="22"/>
        </w:rPr>
        <w:t xml:space="preserve"> Entity</w:t>
      </w:r>
      <w:r w:rsidRPr="00F575FF">
        <w:rPr>
          <w:sz w:val="22"/>
          <w:szCs w:val="22"/>
        </w:rPr>
        <w:t xml:space="preserve"> would be entitled to do </w:t>
      </w:r>
      <w:r w:rsidR="00A31AF3" w:rsidRPr="00F575FF">
        <w:rPr>
          <w:sz w:val="22"/>
          <w:szCs w:val="22"/>
        </w:rPr>
        <w:t xml:space="preserve">so </w:t>
      </w:r>
      <w:r w:rsidRPr="00F575FF">
        <w:rPr>
          <w:sz w:val="22"/>
          <w:szCs w:val="22"/>
        </w:rPr>
        <w:t xml:space="preserve">if the </w:t>
      </w:r>
      <w:r w:rsidR="00A31AF3" w:rsidRPr="00F575FF">
        <w:rPr>
          <w:sz w:val="22"/>
          <w:szCs w:val="22"/>
        </w:rPr>
        <w:t xml:space="preserve">Covered </w:t>
      </w:r>
      <w:r w:rsidRPr="00F575FF">
        <w:rPr>
          <w:sz w:val="22"/>
          <w:szCs w:val="22"/>
        </w:rPr>
        <w:t xml:space="preserve">Direct QFC were with </w:t>
      </w:r>
      <w:r w:rsidR="007E3BB9" w:rsidRPr="00F575FF">
        <w:rPr>
          <w:sz w:val="22"/>
          <w:szCs w:val="22"/>
        </w:rPr>
        <w:t xml:space="preserve">such </w:t>
      </w:r>
      <w:r w:rsidR="00241FE0" w:rsidRPr="00F575FF">
        <w:rPr>
          <w:sz w:val="22"/>
          <w:szCs w:val="22"/>
        </w:rPr>
        <w:t>Covered Affiliate Support Provider</w:t>
      </w:r>
      <w:r w:rsidR="00A31AF3" w:rsidRPr="00F575FF">
        <w:rPr>
          <w:sz w:val="22"/>
          <w:szCs w:val="22"/>
        </w:rPr>
        <w:t xml:space="preserve"> </w:t>
      </w:r>
      <w:r w:rsidRPr="00F575FF">
        <w:rPr>
          <w:sz w:val="22"/>
          <w:szCs w:val="22"/>
        </w:rPr>
        <w:t>and were treated in the same man</w:t>
      </w:r>
      <w:r w:rsidR="002D26F0" w:rsidRPr="00F575FF">
        <w:rPr>
          <w:sz w:val="22"/>
          <w:szCs w:val="22"/>
        </w:rPr>
        <w:t xml:space="preserve">ner as such </w:t>
      </w:r>
      <w:r w:rsidR="00241FE0" w:rsidRPr="00F575FF">
        <w:rPr>
          <w:sz w:val="22"/>
          <w:szCs w:val="22"/>
        </w:rPr>
        <w:t>Covered Affiliate Credit Enhancement</w:t>
      </w:r>
      <w:r w:rsidR="002D26F0" w:rsidRPr="00F575FF">
        <w:rPr>
          <w:sz w:val="22"/>
          <w:szCs w:val="22"/>
        </w:rPr>
        <w:t>.</w:t>
      </w:r>
    </w:p>
    <w:p w:rsidR="007A63B7" w:rsidRPr="00F575FF" w:rsidRDefault="005D11B0" w:rsidP="00490A8B">
      <w:pPr>
        <w:pStyle w:val="Heading2"/>
        <w:rPr>
          <w:sz w:val="22"/>
          <w:szCs w:val="22"/>
        </w:rPr>
      </w:pPr>
      <w:r w:rsidRPr="00F575FF">
        <w:rPr>
          <w:sz w:val="22"/>
          <w:szCs w:val="22"/>
          <w:u w:val="single"/>
        </w:rPr>
        <w:t xml:space="preserve">Scope of Application of Sections </w:t>
      </w:r>
      <w:r w:rsidR="00D521BF">
        <w:rPr>
          <w:sz w:val="22"/>
          <w:szCs w:val="22"/>
          <w:u w:val="single"/>
        </w:rPr>
        <w:t>2.1, 2.2, 2.3 and 2.4</w:t>
      </w:r>
      <w:r w:rsidRPr="00F575FF">
        <w:rPr>
          <w:sz w:val="22"/>
          <w:szCs w:val="22"/>
        </w:rPr>
        <w:t xml:space="preserve">. The terms of Sections </w:t>
      </w:r>
      <w:r w:rsidR="00490A8B">
        <w:rPr>
          <w:sz w:val="22"/>
          <w:szCs w:val="22"/>
        </w:rPr>
        <w:t>2.1, 2.2, 2.3 and 2.4</w:t>
      </w:r>
      <w:r w:rsidRPr="00F575FF">
        <w:rPr>
          <w:sz w:val="22"/>
          <w:szCs w:val="22"/>
        </w:rPr>
        <w:t xml:space="preserve"> shall not apply to any Covered Agreemen</w:t>
      </w:r>
      <w:r w:rsidRPr="00F575FF">
        <w:rPr>
          <w:sz w:val="22"/>
          <w:szCs w:val="22"/>
        </w:rPr>
        <w:t xml:space="preserve">t </w:t>
      </w:r>
      <w:r w:rsidR="00002632" w:rsidRPr="00F575FF">
        <w:rPr>
          <w:sz w:val="22"/>
          <w:szCs w:val="22"/>
        </w:rPr>
        <w:t xml:space="preserve">described in </w:t>
      </w:r>
      <w:r w:rsidRPr="00F575FF">
        <w:rPr>
          <w:sz w:val="22"/>
          <w:szCs w:val="22"/>
        </w:rPr>
        <w:t>12 C.F.R. 252.84(a), 12 C.F.R. 382.4(a) or 12 C.F.R. 47.5(a).</w:t>
      </w:r>
    </w:p>
    <w:p w:rsidR="005A1CF5" w:rsidRPr="00F575FF" w:rsidRDefault="005D11B0" w:rsidP="00645CFD">
      <w:pPr>
        <w:pStyle w:val="Heading2"/>
        <w:rPr>
          <w:sz w:val="22"/>
          <w:szCs w:val="22"/>
        </w:rPr>
      </w:pPr>
      <w:r w:rsidRPr="00F575FF">
        <w:rPr>
          <w:sz w:val="22"/>
          <w:szCs w:val="22"/>
          <w:u w:val="single"/>
        </w:rPr>
        <w:t>Burden of Proof</w:t>
      </w:r>
      <w:r w:rsidRPr="00F575FF">
        <w:rPr>
          <w:sz w:val="22"/>
          <w:szCs w:val="22"/>
        </w:rPr>
        <w:t>. After</w:t>
      </w:r>
      <w:r w:rsidR="003E5253" w:rsidRPr="00F575FF">
        <w:rPr>
          <w:sz w:val="22"/>
          <w:szCs w:val="22"/>
        </w:rPr>
        <w:t xml:space="preserve"> a </w:t>
      </w:r>
      <w:r w:rsidR="00CA422A" w:rsidRPr="00F575FF">
        <w:rPr>
          <w:sz w:val="22"/>
          <w:szCs w:val="22"/>
        </w:rPr>
        <w:t>BHC</w:t>
      </w:r>
      <w:r w:rsidR="005B25BA" w:rsidRPr="00F575FF">
        <w:rPr>
          <w:sz w:val="22"/>
          <w:szCs w:val="22"/>
        </w:rPr>
        <w:t>A</w:t>
      </w:r>
      <w:r w:rsidRPr="00F575FF">
        <w:rPr>
          <w:sz w:val="22"/>
          <w:szCs w:val="22"/>
        </w:rPr>
        <w:t xml:space="preserve"> Affiliate</w:t>
      </w:r>
      <w:r w:rsidR="00FB102F" w:rsidRPr="00F575FF">
        <w:rPr>
          <w:sz w:val="22"/>
          <w:szCs w:val="22"/>
        </w:rPr>
        <w:t xml:space="preserve"> of </w:t>
      </w:r>
      <w:r w:rsidR="008F75F3" w:rsidRPr="00F575FF">
        <w:rPr>
          <w:sz w:val="22"/>
          <w:szCs w:val="22"/>
        </w:rPr>
        <w:t>a</w:t>
      </w:r>
      <w:r w:rsidR="00FB102F" w:rsidRPr="00F575FF">
        <w:rPr>
          <w:sz w:val="22"/>
          <w:szCs w:val="22"/>
        </w:rPr>
        <w:t xml:space="preserve"> </w:t>
      </w:r>
      <w:r w:rsidR="00FE36E5" w:rsidRPr="00F575FF">
        <w:rPr>
          <w:sz w:val="22"/>
          <w:szCs w:val="22"/>
        </w:rPr>
        <w:t>Covered Entity</w:t>
      </w:r>
      <w:r w:rsidRPr="00F575FF">
        <w:rPr>
          <w:sz w:val="22"/>
          <w:szCs w:val="22"/>
        </w:rPr>
        <w:t xml:space="preserve"> has become subject to </w:t>
      </w:r>
      <w:r w:rsidR="009E70D1" w:rsidRPr="00F575FF">
        <w:rPr>
          <w:sz w:val="22"/>
          <w:szCs w:val="22"/>
        </w:rPr>
        <w:t>an Insolvency Proceeding</w:t>
      </w:r>
      <w:r w:rsidRPr="00F575FF">
        <w:rPr>
          <w:sz w:val="22"/>
          <w:szCs w:val="22"/>
        </w:rPr>
        <w:t xml:space="preserve">, </w:t>
      </w:r>
      <w:r w:rsidR="00A31AF3" w:rsidRPr="00F575FF">
        <w:rPr>
          <w:sz w:val="22"/>
          <w:szCs w:val="22"/>
        </w:rPr>
        <w:t>a</w:t>
      </w:r>
      <w:r w:rsidRPr="00F575FF">
        <w:rPr>
          <w:sz w:val="22"/>
          <w:szCs w:val="22"/>
        </w:rPr>
        <w:t xml:space="preserve"> Counterparty</w:t>
      </w:r>
      <w:r w:rsidR="00000E4A" w:rsidRPr="00F575FF">
        <w:rPr>
          <w:sz w:val="22"/>
          <w:szCs w:val="22"/>
        </w:rPr>
        <w:t xml:space="preserve"> Entity</w:t>
      </w:r>
      <w:r w:rsidRPr="00F575FF">
        <w:rPr>
          <w:sz w:val="22"/>
          <w:szCs w:val="22"/>
        </w:rPr>
        <w:t xml:space="preserve"> that seeks to exercise any Default Right with respect to a Covered </w:t>
      </w:r>
      <w:r w:rsidR="0028454B" w:rsidRPr="00F575FF">
        <w:rPr>
          <w:sz w:val="22"/>
          <w:szCs w:val="22"/>
        </w:rPr>
        <w:t xml:space="preserve">Agreement </w:t>
      </w:r>
      <w:r w:rsidR="00FB102F" w:rsidRPr="00F575FF">
        <w:rPr>
          <w:sz w:val="22"/>
          <w:szCs w:val="22"/>
        </w:rPr>
        <w:t xml:space="preserve">with such </w:t>
      </w:r>
      <w:r w:rsidR="00FE36E5" w:rsidRPr="00F575FF">
        <w:rPr>
          <w:sz w:val="22"/>
          <w:szCs w:val="22"/>
        </w:rPr>
        <w:t>Covered Entity</w:t>
      </w:r>
      <w:r w:rsidR="00FB102F" w:rsidRPr="00F575FF">
        <w:rPr>
          <w:sz w:val="22"/>
          <w:szCs w:val="22"/>
        </w:rPr>
        <w:t xml:space="preserve"> </w:t>
      </w:r>
      <w:r w:rsidRPr="00F575FF">
        <w:rPr>
          <w:sz w:val="22"/>
          <w:szCs w:val="22"/>
        </w:rPr>
        <w:t xml:space="preserve">shall have the burden of proof, by clear and convincing evidence, that the exercise of such Default Right is permitted </w:t>
      </w:r>
      <w:r w:rsidR="004F5112" w:rsidRPr="00F575FF">
        <w:rPr>
          <w:sz w:val="22"/>
          <w:szCs w:val="22"/>
        </w:rPr>
        <w:t>under the Covered Agreement, as amended hereby</w:t>
      </w:r>
      <w:r w:rsidRPr="00F575FF">
        <w:rPr>
          <w:sz w:val="22"/>
          <w:szCs w:val="22"/>
        </w:rPr>
        <w:t>.</w:t>
      </w:r>
      <w:r>
        <w:rPr>
          <w:rStyle w:val="FootnoteReference"/>
          <w:sz w:val="22"/>
          <w:szCs w:val="22"/>
        </w:rPr>
        <w:footnoteReference w:id="6"/>
      </w:r>
    </w:p>
    <w:p w:rsidR="00C31C81" w:rsidRPr="00F575FF" w:rsidRDefault="005D11B0" w:rsidP="00490A8B">
      <w:pPr>
        <w:pStyle w:val="Heading2"/>
        <w:rPr>
          <w:sz w:val="22"/>
          <w:szCs w:val="22"/>
        </w:rPr>
      </w:pPr>
      <w:r w:rsidRPr="00F575FF">
        <w:rPr>
          <w:sz w:val="22"/>
          <w:szCs w:val="22"/>
          <w:u w:val="single"/>
        </w:rPr>
        <w:t xml:space="preserve">Relationship Between </w:t>
      </w:r>
      <w:r w:rsidR="00BB53C3" w:rsidRPr="00F575FF">
        <w:rPr>
          <w:sz w:val="22"/>
          <w:szCs w:val="22"/>
          <w:u w:val="single"/>
        </w:rPr>
        <w:t>Sections 1 and 2</w:t>
      </w:r>
      <w:r w:rsidR="00463029" w:rsidRPr="00F575FF">
        <w:rPr>
          <w:sz w:val="22"/>
          <w:szCs w:val="22"/>
        </w:rPr>
        <w:t xml:space="preserve">. </w:t>
      </w:r>
      <w:r w:rsidR="008E11FD" w:rsidRPr="00F575FF">
        <w:rPr>
          <w:sz w:val="22"/>
          <w:szCs w:val="22"/>
        </w:rPr>
        <w:t>The requirements of Section 1 apply notwithstanding Sections 2.2, 2.3 and 2.4.</w:t>
      </w:r>
    </w:p>
    <w:p w:rsidR="00FB4170" w:rsidRPr="00F575FF" w:rsidRDefault="005D11B0" w:rsidP="00490A8B">
      <w:pPr>
        <w:pStyle w:val="Heading1"/>
        <w:rPr>
          <w:sz w:val="22"/>
          <w:szCs w:val="22"/>
        </w:rPr>
      </w:pPr>
      <w:r w:rsidRPr="00F575FF">
        <w:rPr>
          <w:sz w:val="22"/>
          <w:szCs w:val="22"/>
        </w:rPr>
        <w:t>REPRESENTATIONS AND UNDERTAKINGS</w:t>
      </w:r>
    </w:p>
    <w:p w:rsidR="00FB4170" w:rsidRPr="00F575FF" w:rsidRDefault="005D11B0" w:rsidP="00942D1A">
      <w:pPr>
        <w:pStyle w:val="Heading2"/>
        <w:rPr>
          <w:sz w:val="22"/>
          <w:szCs w:val="22"/>
        </w:rPr>
      </w:pPr>
      <w:r w:rsidRPr="00F575FF">
        <w:rPr>
          <w:sz w:val="22"/>
          <w:szCs w:val="22"/>
        </w:rPr>
        <w:t>Each Counterparty Entity represents to each Covered Entity</w:t>
      </w:r>
      <w:r w:rsidR="004F5112" w:rsidRPr="00F575FF">
        <w:rPr>
          <w:sz w:val="22"/>
          <w:szCs w:val="22"/>
        </w:rPr>
        <w:t xml:space="preserve"> with which it has entered into a Covered Agreement or to which it has provided or from which it has received a Covered Agreement,</w:t>
      </w:r>
      <w:r w:rsidRPr="00F575FF">
        <w:rPr>
          <w:sz w:val="22"/>
          <w:szCs w:val="22"/>
        </w:rPr>
        <w:t xml:space="preserve"> and each Covered Entity represents to each Counterparty Entity</w:t>
      </w:r>
      <w:r w:rsidR="00F36CE2" w:rsidRPr="00F575FF">
        <w:rPr>
          <w:sz w:val="22"/>
          <w:szCs w:val="22"/>
        </w:rPr>
        <w:t xml:space="preserve"> </w:t>
      </w:r>
      <w:r w:rsidR="004F5112" w:rsidRPr="00F575FF">
        <w:rPr>
          <w:sz w:val="22"/>
          <w:szCs w:val="22"/>
        </w:rPr>
        <w:t>with which it has entered into a Covered Agreeme</w:t>
      </w:r>
      <w:r w:rsidR="00195DB8" w:rsidRPr="00F575FF">
        <w:rPr>
          <w:sz w:val="22"/>
          <w:szCs w:val="22"/>
        </w:rPr>
        <w:t>nt or to which it has provided</w:t>
      </w:r>
      <w:r w:rsidR="004F5112" w:rsidRPr="00F575FF">
        <w:rPr>
          <w:sz w:val="22"/>
          <w:szCs w:val="22"/>
        </w:rPr>
        <w:t xml:space="preserve"> or from which it has received a Covered Agreement,</w:t>
      </w:r>
      <w:r w:rsidRPr="00F575FF">
        <w:rPr>
          <w:sz w:val="22"/>
          <w:szCs w:val="22"/>
        </w:rPr>
        <w:t xml:space="preserve"> that, as of </w:t>
      </w:r>
      <w:r w:rsidR="00650EDE" w:rsidRPr="00F575FF">
        <w:rPr>
          <w:sz w:val="22"/>
          <w:szCs w:val="22"/>
        </w:rPr>
        <w:t>the</w:t>
      </w:r>
      <w:r w:rsidR="00002632" w:rsidRPr="00F575FF">
        <w:rPr>
          <w:sz w:val="22"/>
          <w:szCs w:val="22"/>
        </w:rPr>
        <w:t xml:space="preserve"> date such </w:t>
      </w:r>
      <w:r w:rsidRPr="00F575FF">
        <w:rPr>
          <w:sz w:val="22"/>
          <w:szCs w:val="22"/>
        </w:rPr>
        <w:t xml:space="preserve">Person </w:t>
      </w:r>
      <w:r w:rsidR="00002632" w:rsidRPr="00F575FF">
        <w:rPr>
          <w:sz w:val="22"/>
          <w:szCs w:val="22"/>
        </w:rPr>
        <w:t>became</w:t>
      </w:r>
      <w:r w:rsidRPr="00F575FF">
        <w:rPr>
          <w:sz w:val="22"/>
          <w:szCs w:val="22"/>
        </w:rPr>
        <w:t xml:space="preserve"> a Party:</w:t>
      </w:r>
    </w:p>
    <w:p w:rsidR="00FB4170" w:rsidRPr="00F575FF" w:rsidRDefault="005D11B0" w:rsidP="006F5B9A">
      <w:pPr>
        <w:pStyle w:val="Heading3"/>
        <w:numPr>
          <w:ilvl w:val="2"/>
          <w:numId w:val="8"/>
        </w:numPr>
        <w:rPr>
          <w:sz w:val="22"/>
          <w:szCs w:val="22"/>
        </w:rPr>
      </w:pPr>
      <w:r w:rsidRPr="00F575FF">
        <w:rPr>
          <w:bCs w:val="0"/>
          <w:sz w:val="22"/>
          <w:szCs w:val="22"/>
          <w:u w:val="single"/>
        </w:rPr>
        <w:t>Status.</w:t>
      </w:r>
      <w:r w:rsidRPr="00F575FF">
        <w:rPr>
          <w:bCs w:val="0"/>
          <w:i/>
          <w:iCs/>
          <w:sz w:val="22"/>
          <w:szCs w:val="22"/>
        </w:rPr>
        <w:t xml:space="preserve">  </w:t>
      </w:r>
      <w:r w:rsidRPr="00F575FF">
        <w:rPr>
          <w:sz w:val="22"/>
          <w:szCs w:val="22"/>
        </w:rPr>
        <w:t>It is, if relevant, duly organized and validly existing under the laws of the jurisdiction of its organization or incorporation an</w:t>
      </w:r>
      <w:r w:rsidRPr="00F575FF">
        <w:rPr>
          <w:sz w:val="22"/>
          <w:szCs w:val="22"/>
        </w:rPr>
        <w:t>d, if relevant under such laws, in good standing or, if it otherwise represents its status in or pursuant to the Covered Agreement, has such status.</w:t>
      </w:r>
    </w:p>
    <w:p w:rsidR="00FB4170" w:rsidRPr="00F575FF" w:rsidRDefault="005D11B0" w:rsidP="006F5B9A">
      <w:pPr>
        <w:pStyle w:val="Heading3"/>
        <w:numPr>
          <w:ilvl w:val="2"/>
          <w:numId w:val="8"/>
        </w:numPr>
        <w:rPr>
          <w:sz w:val="22"/>
          <w:szCs w:val="22"/>
        </w:rPr>
      </w:pPr>
      <w:r w:rsidRPr="00F575FF">
        <w:rPr>
          <w:bCs w:val="0"/>
          <w:sz w:val="22"/>
          <w:szCs w:val="22"/>
          <w:u w:val="single"/>
        </w:rPr>
        <w:t>Powers.</w:t>
      </w:r>
      <w:r w:rsidRPr="00F575FF">
        <w:rPr>
          <w:bCs w:val="0"/>
          <w:sz w:val="22"/>
          <w:szCs w:val="22"/>
        </w:rPr>
        <w:t xml:space="preserve">  </w:t>
      </w:r>
      <w:r w:rsidRPr="00F575FF">
        <w:rPr>
          <w:sz w:val="22"/>
          <w:szCs w:val="22"/>
        </w:rPr>
        <w:t>It has the power to execute and deliver this Agreement and to perform its obligations under this A</w:t>
      </w:r>
      <w:r w:rsidRPr="00F575FF">
        <w:rPr>
          <w:sz w:val="22"/>
          <w:szCs w:val="22"/>
        </w:rPr>
        <w:t>greement and the Covered Agreement as amended by this Agreement, and has taken all necessary action to authorize such execution, delivery and performance.</w:t>
      </w:r>
      <w:r w:rsidR="00C04D71" w:rsidRPr="00F575FF">
        <w:rPr>
          <w:sz w:val="22"/>
          <w:szCs w:val="22"/>
        </w:rPr>
        <w:t xml:space="preserve">  </w:t>
      </w:r>
    </w:p>
    <w:p w:rsidR="00FB4170" w:rsidRPr="00F575FF" w:rsidRDefault="005D11B0" w:rsidP="006F5B9A">
      <w:pPr>
        <w:pStyle w:val="Heading3"/>
        <w:numPr>
          <w:ilvl w:val="2"/>
          <w:numId w:val="8"/>
        </w:numPr>
        <w:rPr>
          <w:sz w:val="22"/>
          <w:szCs w:val="22"/>
        </w:rPr>
      </w:pPr>
      <w:r w:rsidRPr="00F575FF">
        <w:rPr>
          <w:bCs w:val="0"/>
          <w:sz w:val="22"/>
          <w:szCs w:val="22"/>
          <w:u w:val="single"/>
        </w:rPr>
        <w:t>No Violation or Conflict.</w:t>
      </w:r>
      <w:r w:rsidRPr="00F575FF">
        <w:rPr>
          <w:sz w:val="22"/>
          <w:szCs w:val="22"/>
        </w:rPr>
        <w:t xml:space="preserve">  Such execution, delivery and performance do not violate or conflict with</w:t>
      </w:r>
      <w:r w:rsidRPr="00F575FF">
        <w:rPr>
          <w:sz w:val="22"/>
          <w:szCs w:val="22"/>
        </w:rPr>
        <w:t xml:space="preserve"> any law applicable to it, any provision of its constitutional documents, any order or judgment of any court or other agency of government applicable to it or any of its assets or any contractual restriction binding on or affecting it or any of its assets.</w:t>
      </w:r>
    </w:p>
    <w:p w:rsidR="00FB4170" w:rsidRPr="00F575FF" w:rsidRDefault="005D11B0" w:rsidP="006F5B9A">
      <w:pPr>
        <w:pStyle w:val="Heading3"/>
        <w:numPr>
          <w:ilvl w:val="2"/>
          <w:numId w:val="8"/>
        </w:numPr>
        <w:rPr>
          <w:sz w:val="22"/>
          <w:szCs w:val="22"/>
        </w:rPr>
      </w:pPr>
      <w:r w:rsidRPr="00F575FF">
        <w:rPr>
          <w:bCs w:val="0"/>
          <w:sz w:val="22"/>
          <w:szCs w:val="22"/>
          <w:u w:val="single"/>
        </w:rPr>
        <w:lastRenderedPageBreak/>
        <w:t>Consents.</w:t>
      </w:r>
      <w:r w:rsidRPr="00F575FF">
        <w:rPr>
          <w:sz w:val="22"/>
          <w:szCs w:val="22"/>
        </w:rPr>
        <w:t xml:space="preserve">  All governmental and other consents that are required to have been obtained by it with respect to this Agreement and the Covered Agreement, as amended by this Agreement, have been obtained and are in full force and effect and all conditions of </w:t>
      </w:r>
      <w:r w:rsidRPr="00F575FF">
        <w:rPr>
          <w:sz w:val="22"/>
          <w:szCs w:val="22"/>
        </w:rPr>
        <w:t>any such consents have been complied with.</w:t>
      </w:r>
    </w:p>
    <w:p w:rsidR="00FB4170" w:rsidRPr="00F575FF" w:rsidRDefault="005D11B0" w:rsidP="00334FD1">
      <w:pPr>
        <w:pStyle w:val="Heading3"/>
        <w:numPr>
          <w:ilvl w:val="2"/>
          <w:numId w:val="8"/>
        </w:numPr>
        <w:rPr>
          <w:sz w:val="22"/>
          <w:szCs w:val="22"/>
        </w:rPr>
      </w:pPr>
      <w:r w:rsidRPr="00F575FF">
        <w:rPr>
          <w:bCs w:val="0"/>
          <w:sz w:val="22"/>
          <w:szCs w:val="22"/>
          <w:u w:val="single"/>
        </w:rPr>
        <w:t>Obligations Binding.</w:t>
      </w:r>
      <w:r w:rsidRPr="00F575FF">
        <w:rPr>
          <w:sz w:val="22"/>
          <w:szCs w:val="22"/>
        </w:rPr>
        <w:t xml:space="preserve">  </w:t>
      </w:r>
      <w:r w:rsidR="00B12EA6">
        <w:rPr>
          <w:sz w:val="22"/>
          <w:szCs w:val="22"/>
        </w:rPr>
        <w:t>This Agreement has been duly executed and delivered by it and i</w:t>
      </w:r>
      <w:r w:rsidRPr="00F575FF">
        <w:rPr>
          <w:sz w:val="22"/>
          <w:szCs w:val="22"/>
        </w:rPr>
        <w:t>ts obligations under this Agreement and the Covered Agreement</w:t>
      </w:r>
      <w:r w:rsidR="00640F64">
        <w:rPr>
          <w:sz w:val="22"/>
          <w:szCs w:val="22"/>
        </w:rPr>
        <w:t>,</w:t>
      </w:r>
      <w:r w:rsidRPr="00F575FF">
        <w:rPr>
          <w:sz w:val="22"/>
          <w:szCs w:val="22"/>
        </w:rPr>
        <w:t xml:space="preserve"> as amended by this Agreement, constitute its legal, valid and bin</w:t>
      </w:r>
      <w:r w:rsidRPr="00F575FF">
        <w:rPr>
          <w:sz w:val="22"/>
          <w:szCs w:val="22"/>
        </w:rPr>
        <w:t>ding obligations, enforceable in accordance with their respective terms (subject to applicable bankruptcy, reorganization, insolvency, moratorium or similar laws affecting creditors’ rights generally and subject, as to enforceability, to equitable principl</w:t>
      </w:r>
      <w:r w:rsidRPr="00F575FF">
        <w:rPr>
          <w:sz w:val="22"/>
          <w:szCs w:val="22"/>
        </w:rPr>
        <w:t>es of general application (regardless of whether enforcement is sought in a proceeding in equity or at law)).</w:t>
      </w:r>
    </w:p>
    <w:p w:rsidR="00FB4170" w:rsidRPr="00F575FF" w:rsidRDefault="005D11B0" w:rsidP="00FB4170">
      <w:pPr>
        <w:pStyle w:val="Heading3"/>
        <w:rPr>
          <w:sz w:val="22"/>
          <w:szCs w:val="22"/>
        </w:rPr>
      </w:pPr>
      <w:r w:rsidRPr="00F575FF">
        <w:rPr>
          <w:bCs w:val="0"/>
          <w:sz w:val="22"/>
          <w:szCs w:val="22"/>
          <w:u w:val="single"/>
        </w:rPr>
        <w:t>Credit Support.</w:t>
      </w:r>
      <w:r w:rsidRPr="00F575FF">
        <w:rPr>
          <w:sz w:val="22"/>
          <w:szCs w:val="22"/>
        </w:rPr>
        <w:t xml:space="preserve">  Its amendment under this Agreement (other than any amendments affecting when rights in respect of a Credit Enhancement or Third P</w:t>
      </w:r>
      <w:r w:rsidRPr="00F575FF">
        <w:rPr>
          <w:sz w:val="22"/>
          <w:szCs w:val="22"/>
        </w:rPr>
        <w:t>arty Credit Enhancement may be exercised) will not, in and of itself, adversely affect the enforceability, effectiveness or validity of any obligations owed, whether by it or by any Third Party, under any Credit Enhancement or Third Party Credit Enhancemen</w:t>
      </w:r>
      <w:r w:rsidRPr="00F575FF">
        <w:rPr>
          <w:sz w:val="22"/>
          <w:szCs w:val="22"/>
        </w:rPr>
        <w:t>t in respect of its obligations relating to the Covered Agreement as amended by this Agreement.</w:t>
      </w:r>
    </w:p>
    <w:p w:rsidR="00C04D71" w:rsidRPr="00F575FF" w:rsidRDefault="005D11B0" w:rsidP="007173F1">
      <w:pPr>
        <w:pStyle w:val="Heading2"/>
        <w:rPr>
          <w:sz w:val="22"/>
          <w:szCs w:val="22"/>
        </w:rPr>
      </w:pPr>
      <w:r w:rsidRPr="00F575FF">
        <w:rPr>
          <w:sz w:val="22"/>
          <w:szCs w:val="22"/>
        </w:rPr>
        <w:t>[[</w:t>
      </w:r>
      <w:r w:rsidR="001154E6" w:rsidRPr="00F575FF">
        <w:rPr>
          <w:sz w:val="22"/>
          <w:szCs w:val="22"/>
        </w:rPr>
        <w:t>Name of</w:t>
      </w:r>
      <w:r w:rsidRPr="00F575FF">
        <w:rPr>
          <w:sz w:val="22"/>
          <w:szCs w:val="22"/>
        </w:rPr>
        <w:t xml:space="preserve"> G-SIB </w:t>
      </w:r>
      <w:r w:rsidR="007173F1" w:rsidRPr="00F575FF">
        <w:rPr>
          <w:sz w:val="22"/>
          <w:szCs w:val="22"/>
        </w:rPr>
        <w:t>Entity</w:t>
      </w:r>
      <w:r w:rsidRPr="00F575FF">
        <w:rPr>
          <w:sz w:val="22"/>
          <w:szCs w:val="22"/>
        </w:rPr>
        <w:t xml:space="preserve">] represents to each Counterparty Entity that it has the power and authority to enter into this Agreement on behalf of all of </w:t>
      </w:r>
      <w:r w:rsidR="00650EDE" w:rsidRPr="00F575FF">
        <w:rPr>
          <w:sz w:val="22"/>
          <w:szCs w:val="22"/>
        </w:rPr>
        <w:t>the members of the Covered Entity Group</w:t>
      </w:r>
      <w:r w:rsidRPr="00F575FF">
        <w:rPr>
          <w:sz w:val="22"/>
          <w:szCs w:val="22"/>
        </w:rPr>
        <w:t xml:space="preserve"> listed in Schedule 1 hereto.]</w:t>
      </w:r>
      <w:r>
        <w:rPr>
          <w:rStyle w:val="FootnoteReference"/>
          <w:sz w:val="22"/>
          <w:szCs w:val="22"/>
        </w:rPr>
        <w:footnoteReference w:id="7"/>
      </w:r>
      <w:r w:rsidRPr="00F575FF">
        <w:rPr>
          <w:sz w:val="22"/>
          <w:szCs w:val="22"/>
        </w:rPr>
        <w:t xml:space="preserve"> </w:t>
      </w:r>
    </w:p>
    <w:p w:rsidR="00FB4170" w:rsidRPr="00F575FF" w:rsidRDefault="005D11B0" w:rsidP="00B97705">
      <w:pPr>
        <w:pStyle w:val="Heading2"/>
        <w:rPr>
          <w:sz w:val="22"/>
          <w:szCs w:val="22"/>
        </w:rPr>
      </w:pPr>
      <w:r w:rsidRPr="00F575FF">
        <w:rPr>
          <w:sz w:val="22"/>
          <w:szCs w:val="22"/>
        </w:rPr>
        <w:t xml:space="preserve">In the case of a Covered Agreement that contains </w:t>
      </w:r>
      <w:r w:rsidR="001154E6" w:rsidRPr="00F575FF">
        <w:rPr>
          <w:sz w:val="22"/>
          <w:szCs w:val="22"/>
        </w:rPr>
        <w:t xml:space="preserve">a </w:t>
      </w:r>
      <w:r w:rsidR="00F36CE2" w:rsidRPr="00F575FF">
        <w:rPr>
          <w:sz w:val="22"/>
          <w:szCs w:val="22"/>
        </w:rPr>
        <w:t>D</w:t>
      </w:r>
      <w:r w:rsidR="001154E6" w:rsidRPr="00F575FF">
        <w:rPr>
          <w:sz w:val="22"/>
          <w:szCs w:val="22"/>
        </w:rPr>
        <w:t xml:space="preserve">efault </w:t>
      </w:r>
      <w:r w:rsidR="00F36CE2" w:rsidRPr="00F575FF">
        <w:rPr>
          <w:sz w:val="22"/>
          <w:szCs w:val="22"/>
        </w:rPr>
        <w:t>R</w:t>
      </w:r>
      <w:r w:rsidR="001154E6" w:rsidRPr="00F575FF">
        <w:rPr>
          <w:sz w:val="22"/>
          <w:szCs w:val="22"/>
        </w:rPr>
        <w:t>ight based on a</w:t>
      </w:r>
      <w:r w:rsidRPr="00F575FF">
        <w:rPr>
          <w:sz w:val="22"/>
          <w:szCs w:val="22"/>
        </w:rPr>
        <w:t xml:space="preserve"> misrepresentation or other analogous provision, the Parties hereto agree that</w:t>
      </w:r>
      <w:r w:rsidR="00F36CE2" w:rsidRPr="00F575FF">
        <w:rPr>
          <w:sz w:val="22"/>
          <w:szCs w:val="22"/>
        </w:rPr>
        <w:t>,</w:t>
      </w:r>
      <w:r w:rsidRPr="00F575FF">
        <w:rPr>
          <w:sz w:val="22"/>
          <w:szCs w:val="22"/>
        </w:rPr>
        <w:t xml:space="preserve"> </w:t>
      </w:r>
      <w:r w:rsidR="001154E6" w:rsidRPr="00F575FF">
        <w:rPr>
          <w:sz w:val="22"/>
          <w:szCs w:val="22"/>
        </w:rPr>
        <w:t xml:space="preserve">for purposes of such provisions, </w:t>
      </w:r>
      <w:r w:rsidRPr="00F575FF">
        <w:rPr>
          <w:sz w:val="22"/>
          <w:szCs w:val="22"/>
        </w:rPr>
        <w:t xml:space="preserve">each of </w:t>
      </w:r>
      <w:r w:rsidRPr="00F575FF">
        <w:rPr>
          <w:sz w:val="22"/>
          <w:szCs w:val="22"/>
        </w:rPr>
        <w:t>the foregoing representations will be deemed to be a representation</w:t>
      </w:r>
      <w:r w:rsidR="001154E6" w:rsidRPr="00F575FF">
        <w:rPr>
          <w:sz w:val="22"/>
          <w:szCs w:val="22"/>
        </w:rPr>
        <w:t xml:space="preserve"> under such Covered Agreement that is made </w:t>
      </w:r>
      <w:r w:rsidR="00C77783" w:rsidRPr="00F575FF">
        <w:rPr>
          <w:sz w:val="22"/>
          <w:szCs w:val="22"/>
        </w:rPr>
        <w:t>as of the date on which such Party executes this Agreement</w:t>
      </w:r>
      <w:r w:rsidR="008F295D" w:rsidRPr="00F575FF">
        <w:rPr>
          <w:sz w:val="22"/>
          <w:szCs w:val="22"/>
        </w:rPr>
        <w:t>.</w:t>
      </w:r>
    </w:p>
    <w:p w:rsidR="00AD2D18" w:rsidRPr="00F575FF" w:rsidRDefault="005D11B0" w:rsidP="00C14F63">
      <w:pPr>
        <w:pStyle w:val="Heading2"/>
        <w:rPr>
          <w:sz w:val="22"/>
          <w:szCs w:val="22"/>
        </w:rPr>
      </w:pPr>
      <w:r>
        <w:rPr>
          <w:sz w:val="22"/>
          <w:szCs w:val="22"/>
        </w:rPr>
        <w:t xml:space="preserve">Each Counterparty Entity </w:t>
      </w:r>
      <w:r w:rsidR="005F3B1C">
        <w:rPr>
          <w:sz w:val="22"/>
          <w:szCs w:val="22"/>
        </w:rPr>
        <w:t xml:space="preserve">and Covered Entity </w:t>
      </w:r>
      <w:r>
        <w:rPr>
          <w:sz w:val="22"/>
          <w:szCs w:val="22"/>
        </w:rPr>
        <w:t xml:space="preserve">agrees to do all </w:t>
      </w:r>
      <w:r w:rsidR="00C54C75">
        <w:rPr>
          <w:sz w:val="22"/>
          <w:szCs w:val="22"/>
        </w:rPr>
        <w:t xml:space="preserve">such </w:t>
      </w:r>
      <w:r>
        <w:rPr>
          <w:sz w:val="22"/>
          <w:szCs w:val="22"/>
        </w:rPr>
        <w:t>further things and e</w:t>
      </w:r>
      <w:r>
        <w:rPr>
          <w:sz w:val="22"/>
          <w:szCs w:val="22"/>
        </w:rPr>
        <w:t xml:space="preserve">xecute such further documents as </w:t>
      </w:r>
      <w:r w:rsidR="005F3B1C">
        <w:rPr>
          <w:sz w:val="22"/>
          <w:szCs w:val="22"/>
        </w:rPr>
        <w:t>the other</w:t>
      </w:r>
      <w:r>
        <w:rPr>
          <w:sz w:val="22"/>
          <w:szCs w:val="22"/>
        </w:rPr>
        <w:t xml:space="preserve"> may reasonably request to ensure that this Agreement and the amendments</w:t>
      </w:r>
      <w:r w:rsidR="0001215F">
        <w:rPr>
          <w:sz w:val="22"/>
          <w:szCs w:val="22"/>
        </w:rPr>
        <w:t xml:space="preserve"> </w:t>
      </w:r>
      <w:r w:rsidR="00C54C75">
        <w:rPr>
          <w:sz w:val="22"/>
          <w:szCs w:val="22"/>
        </w:rPr>
        <w:t>described herein</w:t>
      </w:r>
      <w:r>
        <w:rPr>
          <w:sz w:val="22"/>
          <w:szCs w:val="22"/>
        </w:rPr>
        <w:t xml:space="preserve"> extend to, and are effective and enforceable under applicable law with respect to, all Covered Agreements to which such Coun</w:t>
      </w:r>
      <w:r>
        <w:rPr>
          <w:sz w:val="22"/>
          <w:szCs w:val="22"/>
        </w:rPr>
        <w:t>terparty Entity is a party or provided by or to such Counterparty Entity. Without limiting the</w:t>
      </w:r>
      <w:r w:rsidR="006D489B">
        <w:rPr>
          <w:sz w:val="22"/>
          <w:szCs w:val="22"/>
        </w:rPr>
        <w:t xml:space="preserve"> generality </w:t>
      </w:r>
      <w:r>
        <w:rPr>
          <w:sz w:val="22"/>
          <w:szCs w:val="22"/>
        </w:rPr>
        <w:t xml:space="preserve">of the foregoing, with respect to any Covered Agreement between a Covered Entity and a Counterparty </w:t>
      </w:r>
      <w:r w:rsidR="00780A97">
        <w:rPr>
          <w:sz w:val="22"/>
          <w:szCs w:val="22"/>
        </w:rPr>
        <w:t xml:space="preserve">Entity to </w:t>
      </w:r>
      <w:r>
        <w:rPr>
          <w:sz w:val="22"/>
          <w:szCs w:val="22"/>
        </w:rPr>
        <w:t>which a Third Party is also a party, eac</w:t>
      </w:r>
      <w:r>
        <w:rPr>
          <w:sz w:val="22"/>
          <w:szCs w:val="22"/>
        </w:rPr>
        <w:t xml:space="preserve">h </w:t>
      </w:r>
      <w:r w:rsidR="00780A97">
        <w:rPr>
          <w:sz w:val="22"/>
          <w:szCs w:val="22"/>
        </w:rPr>
        <w:t xml:space="preserve">such </w:t>
      </w:r>
      <w:r>
        <w:rPr>
          <w:sz w:val="22"/>
          <w:szCs w:val="22"/>
        </w:rPr>
        <w:t xml:space="preserve">Counterparty Entity </w:t>
      </w:r>
      <w:r w:rsidR="00780A97">
        <w:rPr>
          <w:sz w:val="22"/>
          <w:szCs w:val="22"/>
        </w:rPr>
        <w:t>and Covered Entity agree</w:t>
      </w:r>
      <w:r w:rsidR="00F31401">
        <w:rPr>
          <w:sz w:val="22"/>
          <w:szCs w:val="22"/>
        </w:rPr>
        <w:t>s</w:t>
      </w:r>
      <w:r w:rsidR="00780A97">
        <w:rPr>
          <w:sz w:val="22"/>
          <w:szCs w:val="22"/>
        </w:rPr>
        <w:t xml:space="preserve"> (i) that this Agreement amends </w:t>
      </w:r>
      <w:r w:rsidR="00C14F63">
        <w:rPr>
          <w:sz w:val="22"/>
          <w:szCs w:val="22"/>
        </w:rPr>
        <w:t xml:space="preserve">and modifies the rights of the Counterparty Entity under </w:t>
      </w:r>
      <w:r w:rsidR="00780A97">
        <w:rPr>
          <w:sz w:val="22"/>
          <w:szCs w:val="22"/>
        </w:rPr>
        <w:t xml:space="preserve">such Covered Agreement </w:t>
      </w:r>
      <w:r w:rsidR="00C14F63">
        <w:rPr>
          <w:sz w:val="22"/>
          <w:szCs w:val="22"/>
        </w:rPr>
        <w:t xml:space="preserve">on the terms provided herein as </w:t>
      </w:r>
      <w:r w:rsidR="00780A97">
        <w:rPr>
          <w:sz w:val="22"/>
          <w:szCs w:val="22"/>
        </w:rPr>
        <w:t>between such Counterparty Entity and Covered Entity</w:t>
      </w:r>
      <w:r w:rsidR="00EB1CB1">
        <w:rPr>
          <w:sz w:val="22"/>
          <w:szCs w:val="22"/>
        </w:rPr>
        <w:t>,</w:t>
      </w:r>
      <w:r w:rsidR="00780A97">
        <w:rPr>
          <w:sz w:val="22"/>
          <w:szCs w:val="22"/>
        </w:rPr>
        <w:t xml:space="preserve"> and (ii) to exercise any rights </w:t>
      </w:r>
      <w:r w:rsidR="00DB189E">
        <w:rPr>
          <w:sz w:val="22"/>
          <w:szCs w:val="22"/>
        </w:rPr>
        <w:t xml:space="preserve">it may have </w:t>
      </w:r>
      <w:r w:rsidR="00780A97">
        <w:rPr>
          <w:sz w:val="22"/>
          <w:szCs w:val="22"/>
        </w:rPr>
        <w:t xml:space="preserve">to direct such Third Party to </w:t>
      </w:r>
      <w:r w:rsidR="00DB189E">
        <w:rPr>
          <w:sz w:val="22"/>
          <w:szCs w:val="22"/>
        </w:rPr>
        <w:t xml:space="preserve">execute such further documents as may be necessary to </w:t>
      </w:r>
      <w:r>
        <w:rPr>
          <w:sz w:val="22"/>
          <w:szCs w:val="22"/>
        </w:rPr>
        <w:t>give effect to the provisions of this Agreement.</w:t>
      </w:r>
    </w:p>
    <w:p w:rsidR="00FB4170" w:rsidRDefault="005D11B0" w:rsidP="007A075F">
      <w:pPr>
        <w:pStyle w:val="Heading2"/>
        <w:rPr>
          <w:sz w:val="22"/>
          <w:szCs w:val="22"/>
        </w:rPr>
      </w:pPr>
      <w:r w:rsidRPr="00F575FF">
        <w:rPr>
          <w:sz w:val="22"/>
          <w:szCs w:val="22"/>
        </w:rPr>
        <w:t xml:space="preserve">With respect to </w:t>
      </w:r>
      <w:r w:rsidR="001154E6" w:rsidRPr="00F575FF">
        <w:rPr>
          <w:sz w:val="22"/>
          <w:szCs w:val="22"/>
        </w:rPr>
        <w:t>any Covered Agreement</w:t>
      </w:r>
      <w:r w:rsidRPr="00F575FF">
        <w:rPr>
          <w:sz w:val="22"/>
          <w:szCs w:val="22"/>
        </w:rPr>
        <w:t xml:space="preserve"> </w:t>
      </w:r>
      <w:r w:rsidR="001154E6" w:rsidRPr="00F575FF">
        <w:rPr>
          <w:sz w:val="22"/>
          <w:szCs w:val="22"/>
        </w:rPr>
        <w:t>or Third Party Credit Enhancement</w:t>
      </w:r>
      <w:r w:rsidRPr="00F575FF">
        <w:rPr>
          <w:sz w:val="22"/>
          <w:szCs w:val="22"/>
        </w:rPr>
        <w:t xml:space="preserve"> that e</w:t>
      </w:r>
      <w:r w:rsidRPr="00F575FF">
        <w:rPr>
          <w:sz w:val="22"/>
          <w:szCs w:val="22"/>
        </w:rPr>
        <w:t>xpressly require</w:t>
      </w:r>
      <w:r w:rsidR="001154E6" w:rsidRPr="00F575FF">
        <w:rPr>
          <w:sz w:val="22"/>
          <w:szCs w:val="22"/>
        </w:rPr>
        <w:t>s</w:t>
      </w:r>
      <w:r w:rsidRPr="00F575FF">
        <w:rPr>
          <w:sz w:val="22"/>
          <w:szCs w:val="22"/>
        </w:rPr>
        <w:t xml:space="preserve"> the consent, approval, agreement, authorization or other action </w:t>
      </w:r>
      <w:r w:rsidR="00650EDE" w:rsidRPr="00F575FF">
        <w:rPr>
          <w:sz w:val="22"/>
          <w:szCs w:val="22"/>
        </w:rPr>
        <w:t xml:space="preserve">(each, a “consent”) </w:t>
      </w:r>
      <w:r w:rsidRPr="00F575FF">
        <w:rPr>
          <w:sz w:val="22"/>
          <w:szCs w:val="22"/>
        </w:rPr>
        <w:t xml:space="preserve">of a Third Party to be obtained, each Party whose obligations </w:t>
      </w:r>
      <w:r w:rsidR="00236CC5">
        <w:rPr>
          <w:sz w:val="22"/>
          <w:szCs w:val="22"/>
        </w:rPr>
        <w:t xml:space="preserve">under such arrangements </w:t>
      </w:r>
      <w:r w:rsidRPr="00F575FF">
        <w:rPr>
          <w:sz w:val="22"/>
          <w:szCs w:val="22"/>
        </w:rPr>
        <w:t>are</w:t>
      </w:r>
      <w:r w:rsidR="008E1C79">
        <w:rPr>
          <w:sz w:val="22"/>
          <w:szCs w:val="22"/>
        </w:rPr>
        <w:t xml:space="preserve"> </w:t>
      </w:r>
      <w:r w:rsidR="00841743">
        <w:rPr>
          <w:sz w:val="22"/>
          <w:szCs w:val="22"/>
        </w:rPr>
        <w:t xml:space="preserve">secured, guaranteed or otherwise </w:t>
      </w:r>
      <w:r w:rsidRPr="00F575FF">
        <w:rPr>
          <w:sz w:val="22"/>
          <w:szCs w:val="22"/>
        </w:rPr>
        <w:t xml:space="preserve">supported by such Third Party </w:t>
      </w:r>
      <w:r w:rsidR="008E1C79">
        <w:rPr>
          <w:sz w:val="22"/>
          <w:szCs w:val="22"/>
        </w:rPr>
        <w:t xml:space="preserve">Credit Enhancement undertakes </w:t>
      </w:r>
      <w:r w:rsidRPr="00F575FF">
        <w:rPr>
          <w:sz w:val="22"/>
          <w:szCs w:val="22"/>
        </w:rPr>
        <w:t>that it has obtained the consent</w:t>
      </w:r>
      <w:r w:rsidR="00650EDE" w:rsidRPr="00F575FF">
        <w:rPr>
          <w:sz w:val="22"/>
          <w:szCs w:val="22"/>
        </w:rPr>
        <w:t xml:space="preserve"> </w:t>
      </w:r>
      <w:r w:rsidRPr="00F575FF">
        <w:rPr>
          <w:sz w:val="22"/>
          <w:szCs w:val="22"/>
        </w:rPr>
        <w:t>of such Third Party and that it will, upon demand, deliver evidence thereof.</w:t>
      </w:r>
      <w:r w:rsidR="00650EDE" w:rsidRPr="00F575FF">
        <w:rPr>
          <w:sz w:val="22"/>
          <w:szCs w:val="22"/>
        </w:rPr>
        <w:t xml:space="preserve"> To the extent any such required consent </w:t>
      </w:r>
      <w:r w:rsidR="00A70C80" w:rsidRPr="00F575FF">
        <w:rPr>
          <w:sz w:val="22"/>
          <w:szCs w:val="22"/>
        </w:rPr>
        <w:t>has not been</w:t>
      </w:r>
      <w:r w:rsidR="00650EDE" w:rsidRPr="00F575FF">
        <w:rPr>
          <w:sz w:val="22"/>
          <w:szCs w:val="22"/>
        </w:rPr>
        <w:t xml:space="preserve"> obtained, the relevant Covered Agreement</w:t>
      </w:r>
      <w:r w:rsidR="00A70C80" w:rsidRPr="00F575FF">
        <w:rPr>
          <w:sz w:val="22"/>
          <w:szCs w:val="22"/>
        </w:rPr>
        <w:t xml:space="preserve"> supported by </w:t>
      </w:r>
      <w:r w:rsidR="00A70C80" w:rsidRPr="00F575FF">
        <w:rPr>
          <w:sz w:val="22"/>
          <w:szCs w:val="22"/>
        </w:rPr>
        <w:lastRenderedPageBreak/>
        <w:t>such Third Party will not be amended hereby.</w:t>
      </w:r>
      <w:r w:rsidR="00F31401">
        <w:rPr>
          <w:sz w:val="22"/>
          <w:szCs w:val="22"/>
        </w:rPr>
        <w:t xml:space="preserve"> Each Party that is also a Third Party in relation to a Third Party Credit Enhancement is hereby deemed to have consented to the amendments imposed by this Agreement on the Covered Agreement</w:t>
      </w:r>
      <w:r w:rsidR="00840A60">
        <w:rPr>
          <w:sz w:val="22"/>
          <w:szCs w:val="22"/>
        </w:rPr>
        <w:t>s</w:t>
      </w:r>
      <w:r w:rsidR="00F31401">
        <w:rPr>
          <w:sz w:val="22"/>
          <w:szCs w:val="22"/>
        </w:rPr>
        <w:t xml:space="preserve"> supported by such Third Party Credit Enhancement.</w:t>
      </w:r>
    </w:p>
    <w:p w:rsidR="005F3B1C" w:rsidRDefault="005D11B0" w:rsidP="007A075F">
      <w:pPr>
        <w:pStyle w:val="Heading2"/>
        <w:rPr>
          <w:sz w:val="22"/>
          <w:szCs w:val="22"/>
        </w:rPr>
      </w:pPr>
      <w:r>
        <w:rPr>
          <w:sz w:val="22"/>
          <w:szCs w:val="22"/>
        </w:rPr>
        <w:t>Notwithstanding any provision in a Covered Agreement</w:t>
      </w:r>
      <w:r w:rsidR="00841743">
        <w:rPr>
          <w:sz w:val="22"/>
          <w:szCs w:val="22"/>
        </w:rPr>
        <w:t xml:space="preserve"> to which a Third Party is also a party</w:t>
      </w:r>
      <w:r>
        <w:rPr>
          <w:sz w:val="22"/>
          <w:szCs w:val="22"/>
        </w:rPr>
        <w:t xml:space="preserve"> or </w:t>
      </w:r>
      <w:r w:rsidR="00C14F63">
        <w:rPr>
          <w:sz w:val="22"/>
          <w:szCs w:val="22"/>
        </w:rPr>
        <w:t xml:space="preserve">a </w:t>
      </w:r>
      <w:r>
        <w:rPr>
          <w:sz w:val="22"/>
          <w:szCs w:val="22"/>
        </w:rPr>
        <w:t>Third Party Credit Enhancement that</w:t>
      </w:r>
      <w:r w:rsidR="00C14F63">
        <w:rPr>
          <w:sz w:val="22"/>
          <w:szCs w:val="22"/>
        </w:rPr>
        <w:t>, in each case,</w:t>
      </w:r>
      <w:r>
        <w:rPr>
          <w:sz w:val="22"/>
          <w:szCs w:val="22"/>
        </w:rPr>
        <w:t xml:space="preserve"> expressly requires the consent of, or a writing signed by, all </w:t>
      </w:r>
      <w:r w:rsidR="007A075F">
        <w:rPr>
          <w:sz w:val="22"/>
          <w:szCs w:val="22"/>
        </w:rPr>
        <w:t>p</w:t>
      </w:r>
      <w:r>
        <w:rPr>
          <w:sz w:val="22"/>
          <w:szCs w:val="22"/>
        </w:rPr>
        <w:t xml:space="preserve">arties (including a </w:t>
      </w:r>
      <w:r>
        <w:rPr>
          <w:sz w:val="22"/>
          <w:szCs w:val="22"/>
        </w:rPr>
        <w:t>Third Party) in order to amend such Covered Agreement or Third Party Credit Enhancement, each Party agrees and consents to (i) amend such Covered Agreement or Third Party Credit Enhancement as herein provided; (ii) such Third Party providing its consent</w:t>
      </w:r>
      <w:r w:rsidR="00841743">
        <w:rPr>
          <w:sz w:val="22"/>
          <w:szCs w:val="22"/>
        </w:rPr>
        <w:t xml:space="preserve"> to such amendment</w:t>
      </w:r>
      <w:r>
        <w:rPr>
          <w:sz w:val="22"/>
          <w:szCs w:val="22"/>
        </w:rPr>
        <w:t xml:space="preserve"> in a separate writing; and (iii) the amendment of such Covered Agreement or Third Party Credit Enhancement as between such Third Party and</w:t>
      </w:r>
      <w:r w:rsidR="00C14F63">
        <w:rPr>
          <w:sz w:val="22"/>
          <w:szCs w:val="22"/>
        </w:rPr>
        <w:t xml:space="preserve"> the relevant</w:t>
      </w:r>
      <w:r>
        <w:rPr>
          <w:sz w:val="22"/>
          <w:szCs w:val="22"/>
        </w:rPr>
        <w:t xml:space="preserve"> Covered Entity in such form as is consistent with this Agreement.</w:t>
      </w:r>
    </w:p>
    <w:p w:rsidR="0039320D" w:rsidRPr="00F575FF" w:rsidRDefault="005D11B0" w:rsidP="00EB37B0">
      <w:pPr>
        <w:pStyle w:val="Heading1"/>
        <w:rPr>
          <w:sz w:val="22"/>
          <w:szCs w:val="22"/>
        </w:rPr>
      </w:pPr>
      <w:r w:rsidRPr="00F575FF">
        <w:rPr>
          <w:sz w:val="22"/>
          <w:szCs w:val="22"/>
        </w:rPr>
        <w:t>GENERAL CONDITIONS</w:t>
      </w:r>
    </w:p>
    <w:p w:rsidR="009E1483" w:rsidRPr="00F575FF" w:rsidRDefault="005D11B0" w:rsidP="006621E9">
      <w:pPr>
        <w:pStyle w:val="Heading2"/>
        <w:rPr>
          <w:sz w:val="22"/>
          <w:szCs w:val="22"/>
        </w:rPr>
      </w:pPr>
      <w:r w:rsidRPr="00F575FF">
        <w:rPr>
          <w:sz w:val="22"/>
          <w:szCs w:val="22"/>
          <w:u w:val="single"/>
        </w:rPr>
        <w:t>Eff</w:t>
      </w:r>
      <w:r w:rsidRPr="00F575FF">
        <w:rPr>
          <w:sz w:val="22"/>
          <w:szCs w:val="22"/>
          <w:u w:val="single"/>
        </w:rPr>
        <w:t>ectiveness</w:t>
      </w:r>
      <w:r w:rsidRPr="00F575FF">
        <w:rPr>
          <w:sz w:val="22"/>
          <w:szCs w:val="22"/>
        </w:rPr>
        <w:t xml:space="preserve">. </w:t>
      </w:r>
      <w:r w:rsidR="006621E9">
        <w:rPr>
          <w:sz w:val="22"/>
          <w:szCs w:val="22"/>
        </w:rPr>
        <w:t>The amendments contemplated by this Agreement, on the terms and conditions set forth herein,</w:t>
      </w:r>
      <w:r w:rsidRPr="00F575FF">
        <w:rPr>
          <w:sz w:val="22"/>
          <w:szCs w:val="22"/>
        </w:rPr>
        <w:t xml:space="preserve"> shall become effective</w:t>
      </w:r>
      <w:r w:rsidR="00F161C2" w:rsidRPr="00F575FF">
        <w:rPr>
          <w:sz w:val="22"/>
          <w:szCs w:val="22"/>
        </w:rPr>
        <w:t xml:space="preserve"> between a Counterparty Entity and a Covered Entity</w:t>
      </w:r>
      <w:r w:rsidRPr="00F575FF">
        <w:rPr>
          <w:sz w:val="22"/>
          <w:szCs w:val="22"/>
        </w:rPr>
        <w:t xml:space="preserve"> as of the</w:t>
      </w:r>
      <w:r w:rsidR="00082DC9" w:rsidRPr="00F575FF">
        <w:rPr>
          <w:sz w:val="22"/>
          <w:szCs w:val="22"/>
        </w:rPr>
        <w:t xml:space="preserve"> applicable</w:t>
      </w:r>
      <w:r w:rsidRPr="00F575FF">
        <w:rPr>
          <w:sz w:val="22"/>
          <w:szCs w:val="22"/>
        </w:rPr>
        <w:t xml:space="preserve"> Effective Date.</w:t>
      </w:r>
    </w:p>
    <w:p w:rsidR="00A25338" w:rsidRPr="00F575FF" w:rsidRDefault="005D11B0" w:rsidP="00A31AF3">
      <w:pPr>
        <w:pStyle w:val="Heading2"/>
        <w:rPr>
          <w:sz w:val="22"/>
          <w:szCs w:val="22"/>
        </w:rPr>
      </w:pPr>
      <w:r w:rsidRPr="00F575FF">
        <w:rPr>
          <w:sz w:val="22"/>
          <w:szCs w:val="22"/>
          <w:u w:val="single"/>
        </w:rPr>
        <w:t>Entire Agreement; Restatement; Survival</w:t>
      </w:r>
      <w:r w:rsidRPr="00F575FF">
        <w:rPr>
          <w:sz w:val="22"/>
          <w:szCs w:val="22"/>
        </w:rPr>
        <w:t>.</w:t>
      </w:r>
    </w:p>
    <w:p w:rsidR="00293945" w:rsidRPr="00F575FF" w:rsidRDefault="005D11B0" w:rsidP="00A25338">
      <w:pPr>
        <w:pStyle w:val="Heading3"/>
        <w:rPr>
          <w:sz w:val="22"/>
          <w:szCs w:val="22"/>
        </w:rPr>
      </w:pPr>
      <w:r w:rsidRPr="00F575FF">
        <w:rPr>
          <w:sz w:val="22"/>
          <w:szCs w:val="22"/>
        </w:rPr>
        <w:t>This Agreement constitutes the entire agreement and understanding of each Party with respect to its subject matter and supersedes all oral communication and prior writings (except as otherwise provided herein) with respect thereto.  Each Party acknowledge</w:t>
      </w:r>
      <w:r w:rsidRPr="00F575FF">
        <w:rPr>
          <w:sz w:val="22"/>
          <w:szCs w:val="22"/>
        </w:rPr>
        <w:t>s that in executing this Agreement it has not relied on any oral or written representation, warranty or other assurance (except as provided for or referred to elsewhere in this Agreement) and waives all rights and remedies which might otherwise be availabl</w:t>
      </w:r>
      <w:r w:rsidRPr="00F575FF">
        <w:rPr>
          <w:sz w:val="22"/>
          <w:szCs w:val="22"/>
        </w:rPr>
        <w:t>e to it in respect thereof, except that nothing in this Agreement will limit or exclude any liability of a Party for fraud.</w:t>
      </w:r>
    </w:p>
    <w:p w:rsidR="00293945" w:rsidRPr="00F575FF" w:rsidRDefault="005D11B0" w:rsidP="006F5B9A">
      <w:pPr>
        <w:pStyle w:val="Heading3"/>
        <w:numPr>
          <w:ilvl w:val="2"/>
          <w:numId w:val="10"/>
        </w:numPr>
        <w:rPr>
          <w:sz w:val="22"/>
          <w:szCs w:val="22"/>
        </w:rPr>
      </w:pPr>
      <w:r w:rsidRPr="00F575FF">
        <w:rPr>
          <w:sz w:val="22"/>
          <w:szCs w:val="22"/>
        </w:rPr>
        <w:t xml:space="preserve">Except for any amendment </w:t>
      </w:r>
      <w:r w:rsidR="00A70C80" w:rsidRPr="00F575FF">
        <w:rPr>
          <w:sz w:val="22"/>
          <w:szCs w:val="22"/>
        </w:rPr>
        <w:t xml:space="preserve">made or </w:t>
      </w:r>
      <w:r w:rsidRPr="00F575FF">
        <w:rPr>
          <w:sz w:val="22"/>
          <w:szCs w:val="22"/>
        </w:rPr>
        <w:t>deemed made pursuant to this Agreement in respect of any Covered Agreement, all terms and condition</w:t>
      </w:r>
      <w:r w:rsidRPr="00F575FF">
        <w:rPr>
          <w:sz w:val="22"/>
          <w:szCs w:val="22"/>
        </w:rPr>
        <w:t>s of each Covered Agreement will continue in full force and effect in accordance with its provisions as in effect immediately prior to the date on which it first becomes subject to this Agreement.  Except as explicitly stated in this Agreement, nothing her</w:t>
      </w:r>
      <w:r w:rsidRPr="00F575FF">
        <w:rPr>
          <w:sz w:val="22"/>
          <w:szCs w:val="22"/>
        </w:rPr>
        <w:t xml:space="preserve">ein shall constitute a waiver or release of any rights of any Party under any Covered Agreement to which </w:t>
      </w:r>
      <w:r w:rsidR="00F161C2" w:rsidRPr="00F575FF">
        <w:rPr>
          <w:sz w:val="22"/>
          <w:szCs w:val="22"/>
        </w:rPr>
        <w:t>it</w:t>
      </w:r>
      <w:r w:rsidRPr="00F575FF">
        <w:rPr>
          <w:sz w:val="22"/>
          <w:szCs w:val="22"/>
        </w:rPr>
        <w:t xml:space="preserve"> is a party or a provider or recipient of </w:t>
      </w:r>
      <w:r w:rsidR="00A31AF3" w:rsidRPr="00F575FF">
        <w:rPr>
          <w:sz w:val="22"/>
          <w:szCs w:val="22"/>
        </w:rPr>
        <w:t>any Credit Enhancement</w:t>
      </w:r>
      <w:r w:rsidRPr="00F575FF">
        <w:rPr>
          <w:sz w:val="22"/>
          <w:szCs w:val="22"/>
        </w:rPr>
        <w:t>.  This Agreement will, with respect to its subject matter, survive, and any amendmen</w:t>
      </w:r>
      <w:r w:rsidRPr="00F575FF">
        <w:rPr>
          <w:sz w:val="22"/>
          <w:szCs w:val="22"/>
        </w:rPr>
        <w:t xml:space="preserve">ts </w:t>
      </w:r>
      <w:r w:rsidR="00A70C80" w:rsidRPr="00F575FF">
        <w:rPr>
          <w:sz w:val="22"/>
          <w:szCs w:val="22"/>
        </w:rPr>
        <w:t xml:space="preserve">made or </w:t>
      </w:r>
      <w:r w:rsidRPr="00F575FF">
        <w:rPr>
          <w:sz w:val="22"/>
          <w:szCs w:val="22"/>
        </w:rPr>
        <w:t>deemed made pursuant to this Agreement will form a part of each Covered Agreement, notwithstanding any statements in a Covered Agreement to the effect that such Covered Agreement constitutes the entire agreement and understanding between the par</w:t>
      </w:r>
      <w:r w:rsidRPr="00F575FF">
        <w:rPr>
          <w:sz w:val="22"/>
          <w:szCs w:val="22"/>
        </w:rPr>
        <w:t>ties to such Covered Agreement with respect to the subject of such Covered Agreement.</w:t>
      </w:r>
    </w:p>
    <w:p w:rsidR="001C72C0" w:rsidRPr="00F575FF" w:rsidRDefault="005D11B0" w:rsidP="00AF10DB">
      <w:pPr>
        <w:pStyle w:val="Heading2"/>
        <w:rPr>
          <w:sz w:val="22"/>
          <w:szCs w:val="22"/>
        </w:rPr>
      </w:pPr>
      <w:bookmarkStart w:id="0" w:name="_Ref500515158"/>
      <w:r w:rsidRPr="00F575FF">
        <w:rPr>
          <w:bCs w:val="0"/>
          <w:sz w:val="22"/>
          <w:szCs w:val="22"/>
          <w:u w:val="single"/>
        </w:rPr>
        <w:t>Amendments.</w:t>
      </w:r>
      <w:r w:rsidRPr="00F575FF">
        <w:rPr>
          <w:sz w:val="22"/>
          <w:szCs w:val="22"/>
        </w:rPr>
        <w:t xml:space="preserve"> </w:t>
      </w:r>
      <w:r w:rsidR="00293945" w:rsidRPr="00F575FF">
        <w:rPr>
          <w:sz w:val="22"/>
          <w:szCs w:val="22"/>
        </w:rPr>
        <w:t>An amendment, modification or waiver in respect of the matters contemp</w:t>
      </w:r>
      <w:r w:rsidR="00D404C9" w:rsidRPr="00F575FF">
        <w:rPr>
          <w:sz w:val="22"/>
          <w:szCs w:val="22"/>
        </w:rPr>
        <w:t xml:space="preserve">lated by this Agreement </w:t>
      </w:r>
      <w:r w:rsidR="00293945" w:rsidRPr="00F575FF">
        <w:rPr>
          <w:sz w:val="22"/>
          <w:szCs w:val="22"/>
        </w:rPr>
        <w:t xml:space="preserve">will be effective in respect of a Covered Agreement </w:t>
      </w:r>
      <w:r w:rsidR="00A70C80" w:rsidRPr="00F575FF">
        <w:rPr>
          <w:sz w:val="22"/>
          <w:szCs w:val="22"/>
        </w:rPr>
        <w:t xml:space="preserve">only </w:t>
      </w:r>
      <w:r w:rsidR="00293945" w:rsidRPr="00F575FF">
        <w:rPr>
          <w:sz w:val="22"/>
          <w:szCs w:val="22"/>
        </w:rPr>
        <w:t>if made in accordance with the terms of the Covered Agreement and then only with effect between the parties to that Covered Agreement (and will only be effective to amend or override the provisions set forth in this Agreement</w:t>
      </w:r>
      <w:r w:rsidR="001E7A85" w:rsidRPr="00F575FF">
        <w:rPr>
          <w:sz w:val="22"/>
          <w:szCs w:val="22"/>
        </w:rPr>
        <w:t xml:space="preserve"> </w:t>
      </w:r>
      <w:r w:rsidR="00293945" w:rsidRPr="00F575FF">
        <w:rPr>
          <w:sz w:val="22"/>
          <w:szCs w:val="22"/>
        </w:rPr>
        <w:t>if it expressly refers in writing to this Agreeme</w:t>
      </w:r>
      <w:bookmarkEnd w:id="0"/>
      <w:r w:rsidR="000D497F" w:rsidRPr="00F575FF">
        <w:rPr>
          <w:sz w:val="22"/>
          <w:szCs w:val="22"/>
        </w:rPr>
        <w:t>nt</w:t>
      </w:r>
      <w:r w:rsidR="00F161C2" w:rsidRPr="00F575FF">
        <w:rPr>
          <w:sz w:val="22"/>
          <w:szCs w:val="22"/>
        </w:rPr>
        <w:t>)</w:t>
      </w:r>
      <w:r w:rsidR="000D497F" w:rsidRPr="00F575FF">
        <w:rPr>
          <w:sz w:val="22"/>
          <w:szCs w:val="22"/>
        </w:rPr>
        <w:t xml:space="preserve">. </w:t>
      </w:r>
      <w:r w:rsidRPr="00F575FF">
        <w:rPr>
          <w:sz w:val="22"/>
          <w:szCs w:val="22"/>
          <w:lang w:bidi="ar-SA"/>
        </w:rPr>
        <w:t>No amendment of any provision of this Agreement</w:t>
      </w:r>
      <w:r w:rsidR="003924A0" w:rsidRPr="00F575FF">
        <w:rPr>
          <w:sz w:val="22"/>
          <w:szCs w:val="22"/>
          <w:lang w:bidi="ar-SA"/>
        </w:rPr>
        <w:t>,</w:t>
      </w:r>
      <w:r w:rsidR="00DC2D98" w:rsidRPr="00F575FF">
        <w:rPr>
          <w:sz w:val="22"/>
          <w:szCs w:val="22"/>
          <w:lang w:bidi="ar-SA"/>
        </w:rPr>
        <w:t xml:space="preserve"> </w:t>
      </w:r>
      <w:r w:rsidRPr="00F575FF">
        <w:rPr>
          <w:sz w:val="22"/>
          <w:szCs w:val="22"/>
          <w:lang w:bidi="ar-SA"/>
        </w:rPr>
        <w:t xml:space="preserve">other than </w:t>
      </w:r>
      <w:r w:rsidR="00AF10DB" w:rsidRPr="00F575FF">
        <w:rPr>
          <w:sz w:val="22"/>
          <w:szCs w:val="22"/>
          <w:lang w:bidi="ar-SA"/>
        </w:rPr>
        <w:t>an amendment</w:t>
      </w:r>
      <w:r w:rsidR="00917268" w:rsidRPr="00F575FF">
        <w:rPr>
          <w:sz w:val="22"/>
          <w:szCs w:val="22"/>
          <w:lang w:bidi="ar-SA"/>
        </w:rPr>
        <w:t xml:space="preserve"> </w:t>
      </w:r>
      <w:r w:rsidRPr="00F575FF">
        <w:rPr>
          <w:sz w:val="22"/>
          <w:szCs w:val="22"/>
          <w:lang w:bidi="ar-SA"/>
        </w:rPr>
        <w:t xml:space="preserve">pursuant to Section </w:t>
      </w:r>
      <w:r w:rsidR="00BB53C3" w:rsidRPr="00F575FF">
        <w:rPr>
          <w:sz w:val="22"/>
          <w:szCs w:val="22"/>
          <w:lang w:bidi="ar-SA"/>
        </w:rPr>
        <w:t>4</w:t>
      </w:r>
      <w:r w:rsidRPr="00F575FF">
        <w:rPr>
          <w:sz w:val="22"/>
          <w:szCs w:val="22"/>
          <w:lang w:bidi="ar-SA"/>
        </w:rPr>
        <w:t>.</w:t>
      </w:r>
      <w:r w:rsidR="00F00982" w:rsidRPr="00F575FF">
        <w:rPr>
          <w:sz w:val="22"/>
          <w:szCs w:val="22"/>
          <w:lang w:bidi="ar-SA"/>
        </w:rPr>
        <w:t>5</w:t>
      </w:r>
      <w:r w:rsidR="00917268" w:rsidRPr="00F575FF">
        <w:rPr>
          <w:sz w:val="22"/>
          <w:szCs w:val="22"/>
          <w:lang w:bidi="ar-SA"/>
        </w:rPr>
        <w:t xml:space="preserve"> </w:t>
      </w:r>
      <w:r w:rsidRPr="00F575FF">
        <w:rPr>
          <w:sz w:val="22"/>
          <w:szCs w:val="22"/>
          <w:lang w:bidi="ar-SA"/>
        </w:rPr>
        <w:t>below</w:t>
      </w:r>
      <w:r w:rsidR="003924A0" w:rsidRPr="00F575FF">
        <w:rPr>
          <w:sz w:val="22"/>
          <w:szCs w:val="22"/>
          <w:lang w:bidi="ar-SA"/>
        </w:rPr>
        <w:t>,</w:t>
      </w:r>
      <w:r w:rsidRPr="00F575FF">
        <w:rPr>
          <w:sz w:val="22"/>
          <w:szCs w:val="22"/>
          <w:lang w:bidi="ar-SA"/>
        </w:rPr>
        <w:t xml:space="preserve"> shall be valid unless made by a document in writing signed by all Parties.</w:t>
      </w:r>
    </w:p>
    <w:p w:rsidR="00781231" w:rsidRPr="00F575FF" w:rsidRDefault="005D11B0" w:rsidP="00574E4D">
      <w:pPr>
        <w:pStyle w:val="Heading2"/>
        <w:rPr>
          <w:sz w:val="22"/>
          <w:szCs w:val="22"/>
        </w:rPr>
      </w:pPr>
      <w:r w:rsidRPr="00F575FF">
        <w:rPr>
          <w:bCs w:val="0"/>
          <w:sz w:val="22"/>
          <w:szCs w:val="22"/>
          <w:u w:val="single"/>
        </w:rPr>
        <w:lastRenderedPageBreak/>
        <w:t xml:space="preserve">Subsequent Adherence to </w:t>
      </w:r>
      <w:r w:rsidR="00F00982" w:rsidRPr="00F575FF">
        <w:rPr>
          <w:bCs w:val="0"/>
          <w:sz w:val="22"/>
          <w:szCs w:val="22"/>
          <w:u w:val="single"/>
        </w:rPr>
        <w:t>the ISDA</w:t>
      </w:r>
      <w:r w:rsidRPr="00F575FF">
        <w:rPr>
          <w:bCs w:val="0"/>
          <w:sz w:val="22"/>
          <w:szCs w:val="22"/>
          <w:u w:val="single"/>
        </w:rPr>
        <w:t xml:space="preserve"> Protocol.</w:t>
      </w:r>
      <w:r w:rsidRPr="00F575FF">
        <w:rPr>
          <w:bCs w:val="0"/>
          <w:sz w:val="22"/>
          <w:szCs w:val="22"/>
        </w:rPr>
        <w:t xml:space="preserve"> In the event </w:t>
      </w:r>
      <w:r w:rsidR="008635C6" w:rsidRPr="00F575FF">
        <w:rPr>
          <w:bCs w:val="0"/>
          <w:sz w:val="22"/>
          <w:szCs w:val="22"/>
        </w:rPr>
        <w:t>a Counterparty</w:t>
      </w:r>
      <w:r w:rsidR="00000E4A" w:rsidRPr="00F575FF">
        <w:rPr>
          <w:bCs w:val="0"/>
          <w:sz w:val="22"/>
          <w:szCs w:val="22"/>
        </w:rPr>
        <w:t xml:space="preserve"> Entity</w:t>
      </w:r>
      <w:r w:rsidRPr="00F575FF">
        <w:rPr>
          <w:bCs w:val="0"/>
          <w:sz w:val="22"/>
          <w:szCs w:val="22"/>
        </w:rPr>
        <w:t xml:space="preserve"> adheres to the ISDA Protocol after </w:t>
      </w:r>
      <w:r w:rsidR="001E2B44" w:rsidRPr="00F575FF">
        <w:rPr>
          <w:bCs w:val="0"/>
          <w:sz w:val="22"/>
          <w:szCs w:val="22"/>
        </w:rPr>
        <w:t>becoming a Party hereto</w:t>
      </w:r>
      <w:r w:rsidRPr="00F575FF">
        <w:rPr>
          <w:bCs w:val="0"/>
          <w:sz w:val="22"/>
          <w:szCs w:val="22"/>
        </w:rPr>
        <w:t xml:space="preserve">, the terms of the ISDA Protocol will </w:t>
      </w:r>
      <w:r w:rsidR="00574E4D">
        <w:rPr>
          <w:bCs w:val="0"/>
          <w:sz w:val="22"/>
          <w:szCs w:val="22"/>
        </w:rPr>
        <w:t>supersede and replace</w:t>
      </w:r>
      <w:r w:rsidRPr="00F575FF">
        <w:rPr>
          <w:bCs w:val="0"/>
          <w:sz w:val="22"/>
          <w:szCs w:val="22"/>
        </w:rPr>
        <w:t xml:space="preserve"> the terms of this Agreement</w:t>
      </w:r>
      <w:r w:rsidR="00A70C80" w:rsidRPr="00F575FF">
        <w:rPr>
          <w:bCs w:val="0"/>
          <w:sz w:val="22"/>
          <w:szCs w:val="22"/>
        </w:rPr>
        <w:t xml:space="preserve"> with respect to </w:t>
      </w:r>
      <w:r w:rsidR="00D9217F" w:rsidRPr="00F575FF">
        <w:rPr>
          <w:bCs w:val="0"/>
          <w:sz w:val="22"/>
          <w:szCs w:val="22"/>
        </w:rPr>
        <w:t>the</w:t>
      </w:r>
      <w:r w:rsidR="00A70C80" w:rsidRPr="00F575FF">
        <w:rPr>
          <w:bCs w:val="0"/>
          <w:sz w:val="22"/>
          <w:szCs w:val="22"/>
        </w:rPr>
        <w:t xml:space="preserve"> Counterparty Entity </w:t>
      </w:r>
      <w:r w:rsidR="00B21770" w:rsidRPr="00F575FF">
        <w:rPr>
          <w:bCs w:val="0"/>
          <w:sz w:val="22"/>
          <w:szCs w:val="22"/>
        </w:rPr>
        <w:t xml:space="preserve">and its </w:t>
      </w:r>
      <w:r w:rsidR="000C2F75">
        <w:rPr>
          <w:bCs w:val="0"/>
          <w:sz w:val="22"/>
          <w:szCs w:val="22"/>
        </w:rPr>
        <w:t xml:space="preserve">Protocol </w:t>
      </w:r>
      <w:r w:rsidR="00A70C80" w:rsidRPr="00F575FF">
        <w:rPr>
          <w:bCs w:val="0"/>
          <w:sz w:val="22"/>
          <w:szCs w:val="22"/>
        </w:rPr>
        <w:t xml:space="preserve">Covered Agreements </w:t>
      </w:r>
      <w:r w:rsidR="00D9217F" w:rsidRPr="00F575FF">
        <w:rPr>
          <w:bCs w:val="0"/>
          <w:sz w:val="22"/>
          <w:szCs w:val="22"/>
        </w:rPr>
        <w:t xml:space="preserve">(as defined under the ISDA Protocol) with all Covered Entities </w:t>
      </w:r>
      <w:r w:rsidR="00B21770" w:rsidRPr="00F575FF">
        <w:rPr>
          <w:bCs w:val="0"/>
          <w:sz w:val="22"/>
          <w:szCs w:val="22"/>
        </w:rPr>
        <w:t xml:space="preserve">that are </w:t>
      </w:r>
      <w:r w:rsidR="00D9217F" w:rsidRPr="00F575FF">
        <w:rPr>
          <w:bCs w:val="0"/>
          <w:sz w:val="22"/>
          <w:szCs w:val="22"/>
        </w:rPr>
        <w:t>adhering parties to</w:t>
      </w:r>
      <w:r w:rsidR="00B21770" w:rsidRPr="00F575FF">
        <w:rPr>
          <w:bCs w:val="0"/>
          <w:sz w:val="22"/>
          <w:szCs w:val="22"/>
        </w:rPr>
        <w:t xml:space="preserve"> the ISDA Protocol</w:t>
      </w:r>
      <w:r w:rsidRPr="00F575FF">
        <w:rPr>
          <w:bCs w:val="0"/>
          <w:sz w:val="22"/>
          <w:szCs w:val="22"/>
        </w:rPr>
        <w:t>.</w:t>
      </w:r>
    </w:p>
    <w:p w:rsidR="00E635E6" w:rsidRPr="00F575FF" w:rsidRDefault="005D11B0" w:rsidP="001E424D">
      <w:pPr>
        <w:pStyle w:val="Heading2"/>
        <w:rPr>
          <w:sz w:val="22"/>
          <w:szCs w:val="22"/>
          <w:lang w:bidi="ar-SA"/>
        </w:rPr>
      </w:pPr>
      <w:r w:rsidRPr="00F575FF">
        <w:rPr>
          <w:bCs w:val="0"/>
          <w:sz w:val="22"/>
          <w:szCs w:val="22"/>
          <w:u w:val="single"/>
        </w:rPr>
        <w:t>Addition</w:t>
      </w:r>
      <w:r w:rsidR="001C72C0" w:rsidRPr="00F575FF">
        <w:rPr>
          <w:bCs w:val="0"/>
          <w:sz w:val="22"/>
          <w:szCs w:val="22"/>
          <w:u w:val="single"/>
        </w:rPr>
        <w:t xml:space="preserve"> of New Parties.</w:t>
      </w:r>
      <w:r w:rsidR="001C72C0" w:rsidRPr="00F575FF">
        <w:rPr>
          <w:sz w:val="22"/>
          <w:szCs w:val="22"/>
          <w:lang w:bidi="ar-SA"/>
        </w:rPr>
        <w:t xml:space="preserve"> </w:t>
      </w:r>
    </w:p>
    <w:p w:rsidR="00E635E6" w:rsidRPr="00F575FF" w:rsidRDefault="005D11B0" w:rsidP="00D26EEC">
      <w:pPr>
        <w:pStyle w:val="Heading3"/>
        <w:rPr>
          <w:sz w:val="22"/>
          <w:szCs w:val="22"/>
          <w:lang w:bidi="ar-SA"/>
        </w:rPr>
      </w:pPr>
      <w:r w:rsidRPr="00F575FF">
        <w:rPr>
          <w:sz w:val="22"/>
          <w:szCs w:val="22"/>
          <w:lang w:bidi="ar-SA"/>
        </w:rPr>
        <w:t xml:space="preserve">Additional </w:t>
      </w:r>
      <w:r w:rsidR="00D26EEC" w:rsidRPr="00F575FF">
        <w:rPr>
          <w:sz w:val="22"/>
          <w:szCs w:val="22"/>
          <w:lang w:bidi="ar-SA"/>
        </w:rPr>
        <w:t>Covered Entities and Counterparty Entities</w:t>
      </w:r>
      <w:r w:rsidRPr="00F575FF">
        <w:rPr>
          <w:sz w:val="22"/>
          <w:szCs w:val="22"/>
          <w:lang w:bidi="ar-SA"/>
        </w:rPr>
        <w:t xml:space="preserve"> may be added to this Agreement by execution and delivery of a Joinder Agreement</w:t>
      </w:r>
      <w:r w:rsidRPr="00F575FF">
        <w:rPr>
          <w:sz w:val="22"/>
          <w:szCs w:val="22"/>
          <w:lang w:bidi="ar-SA"/>
        </w:rPr>
        <w:t xml:space="preserve"> in the form of </w:t>
      </w:r>
      <w:r w:rsidRPr="00F575FF">
        <w:rPr>
          <w:sz w:val="22"/>
          <w:szCs w:val="22"/>
          <w:u w:val="single"/>
          <w:lang w:bidi="ar-SA"/>
        </w:rPr>
        <w:t>Exhibit A</w:t>
      </w:r>
      <w:r w:rsidRPr="00F575FF">
        <w:rPr>
          <w:sz w:val="22"/>
          <w:szCs w:val="22"/>
          <w:lang w:bidi="ar-SA"/>
        </w:rPr>
        <w:t xml:space="preserve"> hereto.</w:t>
      </w:r>
    </w:p>
    <w:p w:rsidR="00F161C2" w:rsidRPr="00F575FF" w:rsidRDefault="005D11B0" w:rsidP="0089231A">
      <w:pPr>
        <w:pStyle w:val="Heading3"/>
        <w:rPr>
          <w:sz w:val="22"/>
          <w:szCs w:val="22"/>
          <w:lang w:bidi="ar-SA"/>
        </w:rPr>
      </w:pPr>
      <w:r w:rsidRPr="00F575FF">
        <w:rPr>
          <w:sz w:val="22"/>
          <w:szCs w:val="22"/>
          <w:lang w:bidi="ar-SA"/>
        </w:rPr>
        <w:t>[</w:t>
      </w:r>
      <w:r w:rsidR="00B21770" w:rsidRPr="00F575FF">
        <w:rPr>
          <w:sz w:val="22"/>
          <w:szCs w:val="22"/>
          <w:lang w:bidi="ar-SA"/>
        </w:rPr>
        <w:t xml:space="preserve">Additional </w:t>
      </w:r>
      <w:r w:rsidR="0089231A" w:rsidRPr="00F575FF">
        <w:rPr>
          <w:sz w:val="22"/>
          <w:szCs w:val="22"/>
          <w:lang w:bidi="ar-SA"/>
        </w:rPr>
        <w:t>BHCA Affiliates</w:t>
      </w:r>
      <w:r w:rsidR="00917268" w:rsidRPr="00F575FF">
        <w:rPr>
          <w:sz w:val="22"/>
          <w:szCs w:val="22"/>
          <w:lang w:bidi="ar-SA"/>
        </w:rPr>
        <w:t xml:space="preserve"> of [Name of G-SIB </w:t>
      </w:r>
      <w:r w:rsidR="007173F1" w:rsidRPr="00F575FF">
        <w:rPr>
          <w:sz w:val="22"/>
          <w:szCs w:val="22"/>
          <w:lang w:bidi="ar-SA"/>
        </w:rPr>
        <w:t>Entity</w:t>
      </w:r>
      <w:r w:rsidR="00917268" w:rsidRPr="00F575FF">
        <w:rPr>
          <w:sz w:val="22"/>
          <w:szCs w:val="22"/>
          <w:lang w:bidi="ar-SA"/>
        </w:rPr>
        <w:t>]</w:t>
      </w:r>
      <w:r w:rsidR="00B21770" w:rsidRPr="00F575FF">
        <w:rPr>
          <w:sz w:val="22"/>
          <w:szCs w:val="22"/>
          <w:lang w:bidi="ar-SA"/>
        </w:rPr>
        <w:t xml:space="preserve"> may be added as Parties to this </w:t>
      </w:r>
      <w:r w:rsidR="00AF10DB" w:rsidRPr="00F575FF">
        <w:rPr>
          <w:sz w:val="22"/>
          <w:szCs w:val="22"/>
          <w:lang w:bidi="ar-SA"/>
        </w:rPr>
        <w:t>A</w:t>
      </w:r>
      <w:r w:rsidR="00B21770" w:rsidRPr="00F575FF">
        <w:rPr>
          <w:sz w:val="22"/>
          <w:szCs w:val="22"/>
          <w:lang w:bidi="ar-SA"/>
        </w:rPr>
        <w:t xml:space="preserve">greement by </w:t>
      </w:r>
      <w:r w:rsidR="00917268" w:rsidRPr="00F575FF">
        <w:rPr>
          <w:sz w:val="22"/>
          <w:szCs w:val="22"/>
          <w:lang w:bidi="ar-SA"/>
        </w:rPr>
        <w:t xml:space="preserve">the delivery by </w:t>
      </w:r>
      <w:r w:rsidRPr="00F575FF">
        <w:rPr>
          <w:sz w:val="22"/>
          <w:szCs w:val="22"/>
          <w:lang w:bidi="ar-SA"/>
        </w:rPr>
        <w:t xml:space="preserve">[Name of G-SIB </w:t>
      </w:r>
      <w:r w:rsidR="007173F1" w:rsidRPr="00F575FF">
        <w:rPr>
          <w:sz w:val="22"/>
          <w:szCs w:val="22"/>
          <w:lang w:bidi="ar-SA"/>
        </w:rPr>
        <w:t>Entity</w:t>
      </w:r>
      <w:r w:rsidR="00082DC9" w:rsidRPr="00F575FF">
        <w:rPr>
          <w:sz w:val="22"/>
          <w:szCs w:val="22"/>
          <w:lang w:bidi="ar-SA"/>
        </w:rPr>
        <w:t xml:space="preserve"> signing as agent</w:t>
      </w:r>
      <w:r w:rsidRPr="00F575FF">
        <w:rPr>
          <w:sz w:val="22"/>
          <w:szCs w:val="22"/>
          <w:lang w:bidi="ar-SA"/>
        </w:rPr>
        <w:t xml:space="preserve">] </w:t>
      </w:r>
      <w:r w:rsidR="00917268" w:rsidRPr="00F575FF">
        <w:rPr>
          <w:sz w:val="22"/>
          <w:szCs w:val="22"/>
          <w:lang w:bidi="ar-SA"/>
        </w:rPr>
        <w:t>of</w:t>
      </w:r>
      <w:r w:rsidR="002631AE" w:rsidRPr="00F575FF">
        <w:rPr>
          <w:sz w:val="22"/>
          <w:szCs w:val="22"/>
          <w:lang w:bidi="ar-SA"/>
        </w:rPr>
        <w:t xml:space="preserve"> </w:t>
      </w:r>
      <w:r w:rsidR="00917268" w:rsidRPr="00F575FF">
        <w:rPr>
          <w:sz w:val="22"/>
          <w:szCs w:val="22"/>
          <w:lang w:bidi="ar-SA"/>
        </w:rPr>
        <w:t>an amended</w:t>
      </w:r>
      <w:r w:rsidR="00B21770" w:rsidRPr="00F575FF">
        <w:rPr>
          <w:sz w:val="22"/>
          <w:szCs w:val="22"/>
          <w:lang w:bidi="ar-SA"/>
        </w:rPr>
        <w:t xml:space="preserve"> Schedule 1</w:t>
      </w:r>
      <w:r w:rsidRPr="00F575FF">
        <w:rPr>
          <w:sz w:val="22"/>
          <w:szCs w:val="22"/>
          <w:lang w:bidi="ar-SA"/>
        </w:rPr>
        <w:t xml:space="preserve"> to the Counterparty Group in </w:t>
      </w:r>
      <w:r w:rsidR="00BB53C3" w:rsidRPr="00F575FF">
        <w:rPr>
          <w:sz w:val="22"/>
          <w:szCs w:val="22"/>
          <w:lang w:bidi="ar-SA"/>
        </w:rPr>
        <w:t>the manner provided in Section 4</w:t>
      </w:r>
      <w:r w:rsidRPr="00F575FF">
        <w:rPr>
          <w:sz w:val="22"/>
          <w:szCs w:val="22"/>
          <w:lang w:bidi="ar-SA"/>
        </w:rPr>
        <w:t>.7.]</w:t>
      </w:r>
      <w:r>
        <w:rPr>
          <w:rStyle w:val="FootnoteReference"/>
          <w:sz w:val="22"/>
          <w:szCs w:val="22"/>
          <w:lang w:bidi="ar-SA"/>
        </w:rPr>
        <w:footnoteReference w:id="8"/>
      </w:r>
    </w:p>
    <w:p w:rsidR="001C72C0" w:rsidRPr="00F575FF" w:rsidRDefault="005D11B0" w:rsidP="00490A8B">
      <w:pPr>
        <w:pStyle w:val="Heading3"/>
        <w:rPr>
          <w:sz w:val="22"/>
          <w:szCs w:val="22"/>
          <w:lang w:bidi="ar-SA"/>
        </w:rPr>
      </w:pPr>
      <w:r w:rsidRPr="00F575FF">
        <w:rPr>
          <w:sz w:val="22"/>
          <w:szCs w:val="22"/>
          <w:lang w:bidi="ar-SA"/>
        </w:rPr>
        <w:t>If [</w:t>
      </w:r>
      <w:r w:rsidR="00B21770" w:rsidRPr="00F575FF">
        <w:rPr>
          <w:sz w:val="22"/>
          <w:szCs w:val="22"/>
          <w:lang w:bidi="ar-SA"/>
        </w:rPr>
        <w:t xml:space="preserve">Name of </w:t>
      </w:r>
      <w:r w:rsidR="00895DDB" w:rsidRPr="00F575FF">
        <w:rPr>
          <w:sz w:val="22"/>
          <w:szCs w:val="22"/>
          <w:lang w:bidi="ar-SA"/>
        </w:rPr>
        <w:t xml:space="preserve">Counterparty </w:t>
      </w:r>
      <w:r w:rsidR="0089231A" w:rsidRPr="00F575FF">
        <w:rPr>
          <w:sz w:val="22"/>
          <w:szCs w:val="22"/>
          <w:lang w:bidi="ar-SA"/>
        </w:rPr>
        <w:t>Entity</w:t>
      </w:r>
      <w:r w:rsidRPr="00F575FF">
        <w:rPr>
          <w:sz w:val="22"/>
          <w:szCs w:val="22"/>
          <w:lang w:bidi="ar-SA"/>
        </w:rPr>
        <w:t xml:space="preserve">] becomes aware of any </w:t>
      </w:r>
      <w:r w:rsidR="000560B8" w:rsidRPr="00F575FF">
        <w:rPr>
          <w:sz w:val="22"/>
          <w:szCs w:val="22"/>
          <w:lang w:bidi="ar-SA"/>
        </w:rPr>
        <w:t>Counterparty</w:t>
      </w:r>
      <w:r w:rsidR="00753B7C" w:rsidRPr="00F575FF">
        <w:rPr>
          <w:sz w:val="22"/>
          <w:szCs w:val="22"/>
          <w:lang w:bidi="ar-SA"/>
        </w:rPr>
        <w:t xml:space="preserve"> Affiliate</w:t>
      </w:r>
      <w:r w:rsidRPr="00F575FF">
        <w:rPr>
          <w:sz w:val="22"/>
          <w:szCs w:val="22"/>
          <w:lang w:bidi="ar-SA"/>
        </w:rPr>
        <w:t xml:space="preserve"> that is not a Party hereto </w:t>
      </w:r>
      <w:r w:rsidR="00753B7C" w:rsidRPr="00F575FF">
        <w:rPr>
          <w:sz w:val="22"/>
          <w:szCs w:val="22"/>
          <w:lang w:bidi="ar-SA"/>
        </w:rPr>
        <w:t xml:space="preserve">but is a party to one or more </w:t>
      </w:r>
      <w:r w:rsidR="00456EDE" w:rsidRPr="00F575FF">
        <w:rPr>
          <w:sz w:val="22"/>
          <w:szCs w:val="22"/>
          <w:lang w:bidi="ar-SA"/>
        </w:rPr>
        <w:t xml:space="preserve">Covered </w:t>
      </w:r>
      <w:r w:rsidR="00753B7C" w:rsidRPr="00F575FF">
        <w:rPr>
          <w:sz w:val="22"/>
          <w:szCs w:val="22"/>
          <w:lang w:bidi="ar-SA"/>
        </w:rPr>
        <w:t xml:space="preserve">QFCs with one or more members of the Covered Entity Group, </w:t>
      </w:r>
      <w:r w:rsidRPr="00F575FF">
        <w:rPr>
          <w:sz w:val="22"/>
          <w:szCs w:val="22"/>
          <w:lang w:bidi="ar-SA"/>
        </w:rPr>
        <w:t>[</w:t>
      </w:r>
      <w:r w:rsidR="00456EDE" w:rsidRPr="00F575FF">
        <w:rPr>
          <w:sz w:val="22"/>
          <w:szCs w:val="22"/>
          <w:lang w:bidi="ar-SA"/>
        </w:rPr>
        <w:t xml:space="preserve">Name of </w:t>
      </w:r>
      <w:r w:rsidR="00895DDB" w:rsidRPr="00F575FF">
        <w:rPr>
          <w:sz w:val="22"/>
          <w:szCs w:val="22"/>
          <w:lang w:bidi="ar-SA"/>
        </w:rPr>
        <w:t xml:space="preserve">Counterparty </w:t>
      </w:r>
      <w:r w:rsidR="0089231A" w:rsidRPr="00F575FF">
        <w:rPr>
          <w:sz w:val="22"/>
          <w:szCs w:val="22"/>
          <w:lang w:bidi="ar-SA"/>
        </w:rPr>
        <w:t>Entity</w:t>
      </w:r>
      <w:r w:rsidRPr="00F575FF">
        <w:rPr>
          <w:sz w:val="22"/>
          <w:szCs w:val="22"/>
          <w:lang w:bidi="ar-SA"/>
        </w:rPr>
        <w:t>]</w:t>
      </w:r>
      <w:r w:rsidR="000D497F" w:rsidRPr="00F575FF">
        <w:rPr>
          <w:sz w:val="22"/>
          <w:szCs w:val="22"/>
          <w:lang w:bidi="ar-SA"/>
        </w:rPr>
        <w:t xml:space="preserve"> </w:t>
      </w:r>
      <w:r w:rsidRPr="00F575FF">
        <w:rPr>
          <w:sz w:val="22"/>
          <w:szCs w:val="22"/>
          <w:lang w:bidi="ar-SA"/>
        </w:rPr>
        <w:t xml:space="preserve">shall </w:t>
      </w:r>
      <w:r w:rsidR="00753B7C" w:rsidRPr="00F575FF">
        <w:rPr>
          <w:sz w:val="22"/>
          <w:szCs w:val="22"/>
          <w:lang w:bidi="ar-SA"/>
        </w:rPr>
        <w:t xml:space="preserve">use its best efforts to </w:t>
      </w:r>
      <w:r w:rsidRPr="00F575FF">
        <w:rPr>
          <w:sz w:val="22"/>
          <w:szCs w:val="22"/>
          <w:lang w:bidi="ar-SA"/>
        </w:rPr>
        <w:t xml:space="preserve">cause such </w:t>
      </w:r>
      <w:r w:rsidR="000560B8" w:rsidRPr="00F575FF">
        <w:rPr>
          <w:sz w:val="22"/>
          <w:szCs w:val="22"/>
          <w:lang w:bidi="ar-SA"/>
        </w:rPr>
        <w:t>Counterparty</w:t>
      </w:r>
      <w:r w:rsidR="00753B7C" w:rsidRPr="00F575FF">
        <w:rPr>
          <w:sz w:val="22"/>
          <w:szCs w:val="22"/>
          <w:lang w:bidi="ar-SA"/>
        </w:rPr>
        <w:t xml:space="preserve"> Affiliate </w:t>
      </w:r>
      <w:r w:rsidRPr="00F575FF">
        <w:rPr>
          <w:sz w:val="22"/>
          <w:szCs w:val="22"/>
          <w:lang w:bidi="ar-SA"/>
        </w:rPr>
        <w:t>to execute and deliver a Joinder Agreement</w:t>
      </w:r>
      <w:r w:rsidR="000867B2">
        <w:rPr>
          <w:sz w:val="22"/>
          <w:szCs w:val="22"/>
          <w:lang w:bidi="ar-SA"/>
        </w:rPr>
        <w:t xml:space="preserve"> or adhere to the ISDA Protocol</w:t>
      </w:r>
      <w:r w:rsidR="00490A8B">
        <w:rPr>
          <w:sz w:val="22"/>
          <w:szCs w:val="22"/>
          <w:lang w:bidi="ar-SA"/>
        </w:rPr>
        <w:t>.</w:t>
      </w:r>
      <w:r w:rsidRPr="00F575FF">
        <w:rPr>
          <w:sz w:val="22"/>
          <w:szCs w:val="22"/>
          <w:lang w:bidi="ar-SA"/>
        </w:rPr>
        <w:t xml:space="preserve"> </w:t>
      </w:r>
    </w:p>
    <w:p w:rsidR="00293945" w:rsidRPr="00F575FF" w:rsidRDefault="005D11B0" w:rsidP="00456EDE">
      <w:pPr>
        <w:pStyle w:val="Heading2"/>
        <w:rPr>
          <w:sz w:val="22"/>
          <w:szCs w:val="22"/>
        </w:rPr>
      </w:pPr>
      <w:r w:rsidRPr="00F575FF">
        <w:rPr>
          <w:bCs w:val="0"/>
          <w:sz w:val="22"/>
          <w:szCs w:val="22"/>
          <w:u w:val="single"/>
        </w:rPr>
        <w:t>Governing Law.</w:t>
      </w:r>
      <w:r w:rsidRPr="00F575FF">
        <w:rPr>
          <w:sz w:val="22"/>
          <w:szCs w:val="22"/>
        </w:rPr>
        <w:t xml:space="preserve"> This </w:t>
      </w:r>
      <w:r w:rsidR="00117153" w:rsidRPr="00F575FF">
        <w:rPr>
          <w:sz w:val="22"/>
          <w:szCs w:val="22"/>
        </w:rPr>
        <w:t>Agreement</w:t>
      </w:r>
      <w:r w:rsidRPr="00F575FF">
        <w:rPr>
          <w:sz w:val="22"/>
          <w:szCs w:val="22"/>
        </w:rPr>
        <w:t xml:space="preserve"> will, as between the Parties and in respect of each Covered Agreement between them or </w:t>
      </w:r>
      <w:r w:rsidRPr="00F575FF">
        <w:rPr>
          <w:sz w:val="22"/>
          <w:szCs w:val="22"/>
        </w:rPr>
        <w:t xml:space="preserve">provided by one of them to the other, be governed by and construed in accordance with the laws of </w:t>
      </w:r>
      <w:r w:rsidR="0017525F" w:rsidRPr="00F575FF">
        <w:rPr>
          <w:sz w:val="22"/>
          <w:szCs w:val="22"/>
        </w:rPr>
        <w:t>the State of New York</w:t>
      </w:r>
      <w:r w:rsidRPr="00F575FF">
        <w:rPr>
          <w:sz w:val="22"/>
          <w:szCs w:val="22"/>
        </w:rPr>
        <w:t xml:space="preserve">, without reference to choice of law doctrine, </w:t>
      </w:r>
      <w:r w:rsidRPr="00F575FF">
        <w:rPr>
          <w:i/>
          <w:iCs/>
          <w:sz w:val="22"/>
          <w:szCs w:val="22"/>
        </w:rPr>
        <w:t>provided</w:t>
      </w:r>
      <w:r w:rsidRPr="00F575FF">
        <w:rPr>
          <w:sz w:val="22"/>
          <w:szCs w:val="22"/>
        </w:rPr>
        <w:t xml:space="preserve"> that the amendments to each Covered Agreement shall be governed by and construed </w:t>
      </w:r>
      <w:r w:rsidRPr="00F575FF">
        <w:rPr>
          <w:sz w:val="22"/>
          <w:szCs w:val="22"/>
        </w:rPr>
        <w:t>in accordance with the law specified to govern that Covered Agreement and otherwise in accordance with the applicable choice of law doctrine.</w:t>
      </w:r>
      <w:bookmarkStart w:id="1" w:name="_Ref396327228"/>
    </w:p>
    <w:p w:rsidR="00293945" w:rsidRPr="00F575FF" w:rsidRDefault="005D11B0" w:rsidP="00EB37B0">
      <w:pPr>
        <w:pStyle w:val="Heading2"/>
        <w:rPr>
          <w:sz w:val="22"/>
          <w:szCs w:val="22"/>
        </w:rPr>
      </w:pPr>
      <w:r w:rsidRPr="00F575FF">
        <w:rPr>
          <w:sz w:val="22"/>
          <w:szCs w:val="22"/>
          <w:u w:val="single"/>
        </w:rPr>
        <w:t>Notice</w:t>
      </w:r>
      <w:r w:rsidRPr="00F575FF">
        <w:rPr>
          <w:sz w:val="22"/>
          <w:szCs w:val="22"/>
        </w:rPr>
        <w:t>.</w:t>
      </w:r>
      <w:r>
        <w:rPr>
          <w:rStyle w:val="FootnoteReference"/>
          <w:sz w:val="22"/>
          <w:szCs w:val="22"/>
        </w:rPr>
        <w:footnoteReference w:id="9"/>
      </w:r>
      <w:r w:rsidRPr="00F575FF">
        <w:rPr>
          <w:sz w:val="22"/>
          <w:szCs w:val="22"/>
        </w:rPr>
        <w:t xml:space="preserve"> </w:t>
      </w:r>
      <w:r w:rsidR="008174E9" w:rsidRPr="00F575FF">
        <w:rPr>
          <w:sz w:val="22"/>
          <w:szCs w:val="22"/>
        </w:rPr>
        <w:t>Any notice, demand or other communication hereunder, shall be delivered in writing and shall be effective upon receipt</w:t>
      </w:r>
      <w:bookmarkEnd w:id="1"/>
      <w:r w:rsidR="008174E9" w:rsidRPr="00F575FF">
        <w:rPr>
          <w:sz w:val="22"/>
          <w:szCs w:val="22"/>
        </w:rPr>
        <w:t>:</w:t>
      </w:r>
    </w:p>
    <w:p w:rsidR="00927EE0" w:rsidRPr="00F575FF" w:rsidRDefault="005D11B0" w:rsidP="00927EE0">
      <w:pPr>
        <w:pStyle w:val="BodyText"/>
        <w:rPr>
          <w:sz w:val="22"/>
          <w:szCs w:val="22"/>
          <w:lang w:bidi="ar-SA"/>
        </w:rPr>
      </w:pPr>
      <w:r w:rsidRPr="00F575FF">
        <w:rPr>
          <w:sz w:val="22"/>
          <w:szCs w:val="22"/>
          <w:lang w:bidi="ar-SA"/>
        </w:rPr>
        <w:t>If to [</w:t>
      </w:r>
      <w:r w:rsidR="00753B7C" w:rsidRPr="00F575FF">
        <w:rPr>
          <w:sz w:val="22"/>
          <w:szCs w:val="22"/>
          <w:lang w:bidi="ar-SA"/>
        </w:rPr>
        <w:t xml:space="preserve">any member of the </w:t>
      </w:r>
      <w:r w:rsidRPr="00F575FF">
        <w:rPr>
          <w:sz w:val="22"/>
          <w:szCs w:val="22"/>
          <w:lang w:bidi="ar-SA"/>
        </w:rPr>
        <w:t>Covered Entity Group], at:</w:t>
      </w:r>
    </w:p>
    <w:p w:rsidR="008174E9" w:rsidRPr="00F575FF" w:rsidRDefault="005D11B0" w:rsidP="00927EE0">
      <w:pPr>
        <w:pStyle w:val="BodyTextIndent"/>
        <w:rPr>
          <w:sz w:val="22"/>
          <w:szCs w:val="22"/>
          <w:lang w:bidi="ar-SA"/>
        </w:rPr>
      </w:pPr>
      <w:r w:rsidRPr="00F575FF">
        <w:rPr>
          <w:sz w:val="22"/>
          <w:szCs w:val="22"/>
          <w:lang w:bidi="ar-SA"/>
        </w:rPr>
        <w:t>[</w:t>
      </w:r>
      <w:r w:rsidRPr="00F575FF">
        <w:rPr>
          <w:rFonts w:cs="Times New Roman"/>
          <w:sz w:val="22"/>
          <w:szCs w:val="22"/>
          <w:lang w:bidi="ar-SA"/>
        </w:rPr>
        <w:t>●</w:t>
      </w:r>
      <w:r w:rsidRPr="00F575FF">
        <w:rPr>
          <w:sz w:val="22"/>
          <w:szCs w:val="22"/>
          <w:lang w:bidi="ar-SA"/>
        </w:rPr>
        <w:t>]</w:t>
      </w:r>
    </w:p>
    <w:p w:rsidR="008174E9" w:rsidRPr="00F575FF" w:rsidRDefault="005D11B0" w:rsidP="00927EE0">
      <w:pPr>
        <w:pStyle w:val="BodyText"/>
        <w:rPr>
          <w:sz w:val="22"/>
          <w:szCs w:val="22"/>
          <w:lang w:bidi="ar-SA"/>
        </w:rPr>
      </w:pPr>
      <w:r w:rsidRPr="00F575FF">
        <w:rPr>
          <w:sz w:val="22"/>
          <w:szCs w:val="22"/>
          <w:lang w:bidi="ar-SA"/>
        </w:rPr>
        <w:t>If to [</w:t>
      </w:r>
      <w:r w:rsidR="00753B7C" w:rsidRPr="00F575FF">
        <w:rPr>
          <w:sz w:val="22"/>
          <w:szCs w:val="22"/>
          <w:lang w:bidi="ar-SA"/>
        </w:rPr>
        <w:t xml:space="preserve">any member of the </w:t>
      </w:r>
      <w:r w:rsidRPr="00F575FF">
        <w:rPr>
          <w:sz w:val="22"/>
          <w:szCs w:val="22"/>
          <w:lang w:bidi="ar-SA"/>
        </w:rPr>
        <w:t>Counterparty Group], at:</w:t>
      </w:r>
    </w:p>
    <w:p w:rsidR="008174E9" w:rsidRPr="00F575FF" w:rsidRDefault="005D11B0" w:rsidP="00927EE0">
      <w:pPr>
        <w:pStyle w:val="BodyTextIndent"/>
        <w:rPr>
          <w:sz w:val="22"/>
          <w:szCs w:val="22"/>
          <w:lang w:bidi="ar-SA"/>
        </w:rPr>
      </w:pPr>
      <w:r w:rsidRPr="00F575FF">
        <w:rPr>
          <w:sz w:val="22"/>
          <w:szCs w:val="22"/>
          <w:lang w:bidi="ar-SA"/>
        </w:rPr>
        <w:t>[</w:t>
      </w:r>
      <w:r w:rsidRPr="00F575FF">
        <w:rPr>
          <w:rFonts w:cs="Times New Roman"/>
          <w:sz w:val="22"/>
          <w:szCs w:val="22"/>
          <w:lang w:bidi="ar-SA"/>
        </w:rPr>
        <w:t>●</w:t>
      </w:r>
      <w:r w:rsidRPr="00F575FF">
        <w:rPr>
          <w:sz w:val="22"/>
          <w:szCs w:val="22"/>
          <w:lang w:bidi="ar-SA"/>
        </w:rPr>
        <w:t>]</w:t>
      </w:r>
    </w:p>
    <w:p w:rsidR="006F5B9A" w:rsidRPr="00F575FF" w:rsidRDefault="005D11B0" w:rsidP="0002616C">
      <w:pPr>
        <w:pStyle w:val="Heading2"/>
        <w:rPr>
          <w:sz w:val="22"/>
          <w:szCs w:val="22"/>
        </w:rPr>
      </w:pPr>
      <w:r w:rsidRPr="00F575FF">
        <w:rPr>
          <w:bCs w:val="0"/>
          <w:sz w:val="22"/>
          <w:szCs w:val="22"/>
          <w:u w:val="single"/>
        </w:rPr>
        <w:t>Headings.</w:t>
      </w:r>
      <w:r w:rsidRPr="00F575FF">
        <w:rPr>
          <w:sz w:val="22"/>
          <w:szCs w:val="22"/>
        </w:rPr>
        <w:t xml:space="preserve"> The headings used in this Agreement are for convenience of reference only and are not to affect the construction of or to</w:t>
      </w:r>
      <w:r w:rsidRPr="00F575FF">
        <w:rPr>
          <w:sz w:val="22"/>
          <w:szCs w:val="22"/>
        </w:rPr>
        <w:t xml:space="preserve"> be taken into consideration in interpreting this Agreement.</w:t>
      </w:r>
    </w:p>
    <w:p w:rsidR="00E83B49" w:rsidRPr="00F575FF" w:rsidRDefault="00E83B49" w:rsidP="00927EE0">
      <w:pPr>
        <w:pStyle w:val="BodyTextIndent"/>
        <w:rPr>
          <w:sz w:val="22"/>
          <w:szCs w:val="22"/>
          <w:lang w:bidi="ar-SA"/>
        </w:rPr>
      </w:pPr>
    </w:p>
    <w:p w:rsidR="00E83B49" w:rsidRPr="00F575FF" w:rsidRDefault="005D11B0" w:rsidP="00E83B49">
      <w:pPr>
        <w:pStyle w:val="BodyTextIndent"/>
        <w:ind w:left="0"/>
        <w:jc w:val="center"/>
        <w:rPr>
          <w:sz w:val="22"/>
          <w:szCs w:val="22"/>
          <w:lang w:bidi="ar-SA"/>
        </w:rPr>
      </w:pPr>
      <w:r w:rsidRPr="00F575FF">
        <w:rPr>
          <w:sz w:val="22"/>
          <w:szCs w:val="22"/>
          <w:lang w:bidi="ar-SA"/>
        </w:rPr>
        <w:lastRenderedPageBreak/>
        <w:t>[</w:t>
      </w:r>
      <w:r w:rsidRPr="00F575FF">
        <w:rPr>
          <w:i/>
          <w:iCs/>
          <w:sz w:val="22"/>
          <w:szCs w:val="22"/>
          <w:lang w:bidi="ar-SA"/>
        </w:rPr>
        <w:t>Remainder of page intentionally left blank</w:t>
      </w:r>
      <w:r w:rsidRPr="00F575FF">
        <w:rPr>
          <w:sz w:val="22"/>
          <w:szCs w:val="22"/>
          <w:lang w:bidi="ar-SA"/>
        </w:rPr>
        <w:t>]</w:t>
      </w:r>
    </w:p>
    <w:p w:rsidR="00D90149" w:rsidRPr="00F575FF" w:rsidRDefault="005D11B0" w:rsidP="00EE67DE">
      <w:pPr>
        <w:rPr>
          <w:sz w:val="22"/>
          <w:szCs w:val="22"/>
          <w:lang w:bidi="ar-SA"/>
        </w:rPr>
      </w:pPr>
      <w:r w:rsidRPr="00F575FF">
        <w:rPr>
          <w:sz w:val="22"/>
          <w:szCs w:val="22"/>
          <w:lang w:bidi="ar-SA"/>
        </w:rPr>
        <w:br w:type="page"/>
      </w:r>
    </w:p>
    <w:p w:rsidR="00D90149" w:rsidRPr="00F575FF" w:rsidRDefault="005D11B0" w:rsidP="008635C6">
      <w:pPr>
        <w:pStyle w:val="BodyText"/>
        <w:rPr>
          <w:sz w:val="22"/>
          <w:szCs w:val="22"/>
          <w:lang w:bidi="ar-SA"/>
        </w:rPr>
      </w:pPr>
      <w:r w:rsidRPr="00F575FF">
        <w:rPr>
          <w:sz w:val="22"/>
          <w:szCs w:val="22"/>
          <w:lang w:bidi="ar-SA"/>
        </w:rPr>
        <w:lastRenderedPageBreak/>
        <w:t xml:space="preserve">IN WITNESS WHEREOF, </w:t>
      </w:r>
      <w:r w:rsidR="000D497F" w:rsidRPr="00F575FF">
        <w:rPr>
          <w:sz w:val="22"/>
          <w:szCs w:val="22"/>
          <w:lang w:bidi="ar-SA"/>
        </w:rPr>
        <w:t>the Parties</w:t>
      </w:r>
      <w:r w:rsidRPr="00F575FF">
        <w:rPr>
          <w:sz w:val="22"/>
          <w:szCs w:val="22"/>
          <w:lang w:bidi="ar-SA"/>
        </w:rPr>
        <w:t xml:space="preserve"> have caused this Agreement to be duly executed and delivered by </w:t>
      </w:r>
      <w:r w:rsidR="000D497F" w:rsidRPr="00F575FF">
        <w:rPr>
          <w:sz w:val="22"/>
          <w:szCs w:val="22"/>
          <w:lang w:bidi="ar-SA"/>
        </w:rPr>
        <w:t>their</w:t>
      </w:r>
      <w:r w:rsidRPr="00F575FF">
        <w:rPr>
          <w:sz w:val="22"/>
          <w:szCs w:val="22"/>
          <w:lang w:bidi="ar-SA"/>
        </w:rPr>
        <w:t xml:space="preserve"> proper and duly authorized </w:t>
      </w:r>
      <w:r w:rsidR="000D497F" w:rsidRPr="00F575FF">
        <w:rPr>
          <w:sz w:val="22"/>
          <w:szCs w:val="22"/>
          <w:lang w:bidi="ar-SA"/>
        </w:rPr>
        <w:t>representatives</w:t>
      </w:r>
      <w:r w:rsidRPr="00F575FF">
        <w:rPr>
          <w:sz w:val="22"/>
          <w:szCs w:val="22"/>
          <w:lang w:bidi="ar-SA"/>
        </w:rPr>
        <w:t xml:space="preserve"> as of </w:t>
      </w:r>
      <w:r w:rsidR="00F575FF" w:rsidRPr="00F575FF">
        <w:rPr>
          <w:sz w:val="22"/>
          <w:szCs w:val="22"/>
          <w:lang w:bidi="ar-SA"/>
        </w:rPr>
        <w:t xml:space="preserve">the </w:t>
      </w:r>
      <w:r w:rsidR="008635C6" w:rsidRPr="00F575FF">
        <w:rPr>
          <w:sz w:val="22"/>
          <w:szCs w:val="22"/>
          <w:lang w:bidi="ar-SA"/>
        </w:rPr>
        <w:t>Execution Date</w:t>
      </w:r>
      <w:r w:rsidRPr="00F575FF">
        <w:rPr>
          <w:sz w:val="22"/>
          <w:szCs w:val="22"/>
          <w:lang w:bidi="ar-SA"/>
        </w:rPr>
        <w:t>.</w:t>
      </w:r>
    </w:p>
    <w:p w:rsidR="00D90149" w:rsidRPr="00F575FF" w:rsidRDefault="00D90149" w:rsidP="00EE67DE">
      <w:pPr>
        <w:pStyle w:val="BodyText"/>
        <w:rPr>
          <w:sz w:val="22"/>
          <w:szCs w:val="22"/>
          <w:lang w:bidi="ar-SA"/>
        </w:rPr>
      </w:pPr>
    </w:p>
    <w:tbl>
      <w:tblPr>
        <w:tblStyle w:val="TableGrid"/>
        <w:tblW w:w="0" w:type="auto"/>
        <w:tblInd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88"/>
      </w:tblGrid>
      <w:tr w:rsidR="00002E85" w:rsidTr="00D90149">
        <w:trPr>
          <w:trHeight w:val="1042"/>
        </w:trPr>
        <w:tc>
          <w:tcPr>
            <w:tcW w:w="4698" w:type="dxa"/>
            <w:gridSpan w:val="2"/>
            <w:tcBorders>
              <w:top w:val="nil"/>
              <w:left w:val="nil"/>
              <w:bottom w:val="nil"/>
              <w:right w:val="nil"/>
            </w:tcBorders>
          </w:tcPr>
          <w:p w:rsidR="00D90149" w:rsidRPr="00F575FF" w:rsidRDefault="005D11B0" w:rsidP="007173F1">
            <w:pPr>
              <w:pStyle w:val="Heading2"/>
              <w:numPr>
                <w:ilvl w:val="0"/>
                <w:numId w:val="0"/>
              </w:numPr>
              <w:rPr>
                <w:sz w:val="22"/>
                <w:szCs w:val="22"/>
                <w:lang w:bidi="ar-SA"/>
              </w:rPr>
            </w:pPr>
            <w:r w:rsidRPr="00F575FF">
              <w:rPr>
                <w:b/>
                <w:bCs w:val="0"/>
                <w:sz w:val="22"/>
                <w:szCs w:val="22"/>
                <w:lang w:bidi="ar-SA"/>
              </w:rPr>
              <w:t xml:space="preserve">[G-SIB </w:t>
            </w:r>
            <w:r w:rsidR="007173F1" w:rsidRPr="00F575FF">
              <w:rPr>
                <w:b/>
                <w:bCs w:val="0"/>
                <w:sz w:val="22"/>
                <w:szCs w:val="22"/>
                <w:lang w:bidi="ar-SA"/>
              </w:rPr>
              <w:t>Entity</w:t>
            </w:r>
            <w:r w:rsidRPr="00F575FF">
              <w:rPr>
                <w:b/>
                <w:bCs w:val="0"/>
                <w:sz w:val="22"/>
                <w:szCs w:val="22"/>
                <w:lang w:bidi="ar-SA"/>
              </w:rPr>
              <w:t>]</w:t>
            </w:r>
            <w:r w:rsidR="00C04D71" w:rsidRPr="00F575FF">
              <w:rPr>
                <w:b/>
                <w:bCs w:val="0"/>
                <w:sz w:val="22"/>
                <w:szCs w:val="22"/>
                <w:lang w:bidi="ar-SA"/>
              </w:rPr>
              <w:t>[</w:t>
            </w:r>
            <w:r w:rsidR="00C04D71" w:rsidRPr="00F575FF">
              <w:rPr>
                <w:sz w:val="22"/>
                <w:szCs w:val="22"/>
                <w:lang w:bidi="ar-SA"/>
              </w:rPr>
              <w:t>, on behalf of itself and</w:t>
            </w:r>
            <w:r w:rsidR="00CA5EA8" w:rsidRPr="00F575FF">
              <w:rPr>
                <w:sz w:val="22"/>
                <w:szCs w:val="22"/>
                <w:lang w:bidi="ar-SA"/>
              </w:rPr>
              <w:t xml:space="preserve"> </w:t>
            </w:r>
            <w:r w:rsidR="00051503" w:rsidRPr="00F575FF">
              <w:rPr>
                <w:sz w:val="22"/>
                <w:szCs w:val="22"/>
                <w:lang w:bidi="ar-SA"/>
              </w:rPr>
              <w:t xml:space="preserve">as agent for </w:t>
            </w:r>
            <w:r w:rsidR="00CA5EA8" w:rsidRPr="00F575FF">
              <w:rPr>
                <w:sz w:val="22"/>
                <w:szCs w:val="22"/>
                <w:lang w:bidi="ar-SA"/>
              </w:rPr>
              <w:t>each of</w:t>
            </w:r>
            <w:r w:rsidR="00C04D71" w:rsidRPr="00F575FF">
              <w:rPr>
                <w:sz w:val="22"/>
                <w:szCs w:val="22"/>
                <w:lang w:bidi="ar-SA"/>
              </w:rPr>
              <w:t xml:space="preserve"> </w:t>
            </w:r>
            <w:r w:rsidR="005523CB" w:rsidRPr="00F575FF">
              <w:rPr>
                <w:sz w:val="22"/>
                <w:szCs w:val="22"/>
                <w:lang w:bidi="ar-SA"/>
              </w:rPr>
              <w:t>the members of the Covered Entity Group</w:t>
            </w:r>
            <w:r w:rsidR="00C04D71" w:rsidRPr="00F575FF">
              <w:rPr>
                <w:sz w:val="22"/>
                <w:szCs w:val="22"/>
                <w:lang w:bidi="ar-SA"/>
              </w:rPr>
              <w:t xml:space="preserve"> listed </w:t>
            </w:r>
            <w:r w:rsidR="00051503" w:rsidRPr="00F575FF">
              <w:rPr>
                <w:sz w:val="22"/>
                <w:szCs w:val="22"/>
                <w:lang w:bidi="ar-SA"/>
              </w:rPr>
              <w:t>o</w:t>
            </w:r>
            <w:r w:rsidR="00C04D71" w:rsidRPr="00F575FF">
              <w:rPr>
                <w:sz w:val="22"/>
                <w:szCs w:val="22"/>
                <w:lang w:bidi="ar-SA"/>
              </w:rPr>
              <w:t xml:space="preserve">n </w:t>
            </w:r>
            <w:r w:rsidR="005121E3" w:rsidRPr="00F575FF">
              <w:rPr>
                <w:sz w:val="22"/>
                <w:szCs w:val="22"/>
                <w:lang w:bidi="ar-SA"/>
              </w:rPr>
              <w:t>Schedule 1 hereto]</w:t>
            </w:r>
            <w:r>
              <w:rPr>
                <w:rStyle w:val="FootnoteReference"/>
                <w:sz w:val="22"/>
                <w:szCs w:val="22"/>
                <w:lang w:bidi="ar-SA"/>
              </w:rPr>
              <w:footnoteReference w:id="10"/>
            </w:r>
          </w:p>
        </w:tc>
      </w:tr>
      <w:tr w:rsidR="00002E85" w:rsidTr="00D90149">
        <w:tc>
          <w:tcPr>
            <w:tcW w:w="810" w:type="dxa"/>
            <w:tcBorders>
              <w:top w:val="nil"/>
              <w:left w:val="nil"/>
              <w:bottom w:val="nil"/>
              <w:right w:val="nil"/>
            </w:tcBorders>
          </w:tcPr>
          <w:p w:rsidR="00D90149" w:rsidRPr="00F575FF" w:rsidRDefault="005D11B0" w:rsidP="00D90149">
            <w:pPr>
              <w:pStyle w:val="Heading2"/>
              <w:numPr>
                <w:ilvl w:val="0"/>
                <w:numId w:val="0"/>
              </w:numPr>
              <w:spacing w:after="0"/>
              <w:rPr>
                <w:sz w:val="22"/>
                <w:szCs w:val="22"/>
                <w:lang w:bidi="ar-SA"/>
              </w:rPr>
            </w:pPr>
            <w:r w:rsidRPr="00F575FF">
              <w:rPr>
                <w:sz w:val="22"/>
                <w:szCs w:val="22"/>
                <w:lang w:bidi="ar-SA"/>
              </w:rPr>
              <w:t>By:</w:t>
            </w:r>
          </w:p>
        </w:tc>
        <w:tc>
          <w:tcPr>
            <w:tcW w:w="3888" w:type="dxa"/>
            <w:tcBorders>
              <w:top w:val="nil"/>
              <w:left w:val="nil"/>
              <w:bottom w:val="single" w:sz="4" w:space="0" w:color="auto"/>
              <w:right w:val="nil"/>
            </w:tcBorders>
          </w:tcPr>
          <w:p w:rsidR="00D90149" w:rsidRPr="00F575FF" w:rsidRDefault="005D11B0" w:rsidP="00D90149">
            <w:pPr>
              <w:pStyle w:val="Heading2"/>
              <w:numPr>
                <w:ilvl w:val="0"/>
                <w:numId w:val="0"/>
              </w:numPr>
              <w:spacing w:after="0"/>
              <w:rPr>
                <w:i/>
                <w:iCs/>
                <w:sz w:val="22"/>
                <w:szCs w:val="22"/>
                <w:lang w:bidi="ar-SA"/>
              </w:rPr>
            </w:pPr>
            <w:r w:rsidRPr="00F575FF">
              <w:rPr>
                <w:i/>
                <w:iCs/>
                <w:sz w:val="22"/>
                <w:szCs w:val="22"/>
                <w:lang w:bidi="ar-SA"/>
              </w:rPr>
              <w:t>/S/</w:t>
            </w:r>
          </w:p>
        </w:tc>
      </w:tr>
      <w:tr w:rsidR="00002E85" w:rsidTr="00D90149">
        <w:tc>
          <w:tcPr>
            <w:tcW w:w="810" w:type="dxa"/>
            <w:tcBorders>
              <w:top w:val="nil"/>
              <w:left w:val="nil"/>
              <w:bottom w:val="nil"/>
              <w:right w:val="nil"/>
            </w:tcBorders>
          </w:tcPr>
          <w:p w:rsidR="00D90149" w:rsidRPr="00F575FF" w:rsidRDefault="005D11B0" w:rsidP="00D90149">
            <w:pPr>
              <w:pStyle w:val="Heading2"/>
              <w:numPr>
                <w:ilvl w:val="0"/>
                <w:numId w:val="0"/>
              </w:numPr>
              <w:spacing w:after="0"/>
              <w:rPr>
                <w:sz w:val="22"/>
                <w:szCs w:val="22"/>
                <w:lang w:bidi="ar-SA"/>
              </w:rPr>
            </w:pPr>
            <w:r w:rsidRPr="00F575FF">
              <w:rPr>
                <w:sz w:val="22"/>
                <w:szCs w:val="22"/>
                <w:lang w:bidi="ar-SA"/>
              </w:rPr>
              <w:t>Name:</w:t>
            </w:r>
          </w:p>
        </w:tc>
        <w:tc>
          <w:tcPr>
            <w:tcW w:w="3888" w:type="dxa"/>
            <w:tcBorders>
              <w:top w:val="nil"/>
              <w:left w:val="nil"/>
              <w:bottom w:val="nil"/>
              <w:right w:val="nil"/>
            </w:tcBorders>
          </w:tcPr>
          <w:p w:rsidR="00D90149" w:rsidRPr="00F575FF" w:rsidRDefault="00D90149" w:rsidP="00D90149">
            <w:pPr>
              <w:pStyle w:val="Heading2"/>
              <w:numPr>
                <w:ilvl w:val="0"/>
                <w:numId w:val="0"/>
              </w:numPr>
              <w:spacing w:after="0"/>
              <w:rPr>
                <w:sz w:val="22"/>
                <w:szCs w:val="22"/>
                <w:lang w:bidi="ar-SA"/>
              </w:rPr>
            </w:pPr>
          </w:p>
        </w:tc>
      </w:tr>
      <w:tr w:rsidR="00002E85" w:rsidTr="00D90149">
        <w:tc>
          <w:tcPr>
            <w:tcW w:w="810" w:type="dxa"/>
            <w:tcBorders>
              <w:top w:val="nil"/>
              <w:left w:val="nil"/>
              <w:bottom w:val="nil"/>
              <w:right w:val="nil"/>
            </w:tcBorders>
          </w:tcPr>
          <w:p w:rsidR="00D90149" w:rsidRPr="00F575FF" w:rsidRDefault="005D11B0" w:rsidP="00D90149">
            <w:pPr>
              <w:pStyle w:val="Heading2"/>
              <w:numPr>
                <w:ilvl w:val="0"/>
                <w:numId w:val="0"/>
              </w:numPr>
              <w:spacing w:after="0"/>
              <w:rPr>
                <w:sz w:val="22"/>
                <w:szCs w:val="22"/>
                <w:lang w:bidi="ar-SA"/>
              </w:rPr>
            </w:pPr>
            <w:r w:rsidRPr="00F575FF">
              <w:rPr>
                <w:sz w:val="22"/>
                <w:szCs w:val="22"/>
                <w:lang w:bidi="ar-SA"/>
              </w:rPr>
              <w:t>Title:</w:t>
            </w:r>
          </w:p>
        </w:tc>
        <w:tc>
          <w:tcPr>
            <w:tcW w:w="3888" w:type="dxa"/>
            <w:tcBorders>
              <w:top w:val="nil"/>
              <w:left w:val="nil"/>
              <w:bottom w:val="nil"/>
              <w:right w:val="nil"/>
            </w:tcBorders>
          </w:tcPr>
          <w:p w:rsidR="00D90149" w:rsidRPr="00F575FF" w:rsidRDefault="00D90149" w:rsidP="00D90149">
            <w:pPr>
              <w:pStyle w:val="Heading2"/>
              <w:numPr>
                <w:ilvl w:val="0"/>
                <w:numId w:val="0"/>
              </w:numPr>
              <w:spacing w:after="0"/>
              <w:rPr>
                <w:sz w:val="22"/>
                <w:szCs w:val="22"/>
                <w:lang w:bidi="ar-SA"/>
              </w:rPr>
            </w:pPr>
          </w:p>
        </w:tc>
      </w:tr>
    </w:tbl>
    <w:p w:rsidR="00D90149" w:rsidRPr="00F575FF" w:rsidRDefault="00D90149" w:rsidP="00EE67DE">
      <w:pPr>
        <w:pStyle w:val="BodyText"/>
        <w:rPr>
          <w:sz w:val="22"/>
          <w:szCs w:val="22"/>
          <w:lang w:bidi="ar-SA"/>
        </w:rPr>
      </w:pPr>
    </w:p>
    <w:p w:rsidR="00D90149" w:rsidRPr="00F575FF" w:rsidRDefault="00D90149" w:rsidP="00EE67DE">
      <w:pPr>
        <w:pStyle w:val="BodyText"/>
        <w:rPr>
          <w:sz w:val="22"/>
          <w:szCs w:val="22"/>
          <w:lang w:bidi="ar-SA"/>
        </w:rPr>
      </w:pPr>
    </w:p>
    <w:tbl>
      <w:tblPr>
        <w:tblStyle w:val="TableGrid"/>
        <w:tblW w:w="0" w:type="auto"/>
        <w:tblInd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88"/>
      </w:tblGrid>
      <w:tr w:rsidR="00002E85" w:rsidTr="00753B7C">
        <w:trPr>
          <w:trHeight w:val="1042"/>
        </w:trPr>
        <w:tc>
          <w:tcPr>
            <w:tcW w:w="4698" w:type="dxa"/>
            <w:gridSpan w:val="2"/>
            <w:tcBorders>
              <w:top w:val="nil"/>
              <w:left w:val="nil"/>
              <w:bottom w:val="nil"/>
              <w:right w:val="nil"/>
            </w:tcBorders>
          </w:tcPr>
          <w:p w:rsidR="00D90149" w:rsidRPr="00F575FF" w:rsidRDefault="005D11B0" w:rsidP="007173F1">
            <w:pPr>
              <w:pStyle w:val="Heading2"/>
              <w:numPr>
                <w:ilvl w:val="0"/>
                <w:numId w:val="0"/>
              </w:numPr>
              <w:rPr>
                <w:b/>
                <w:bCs w:val="0"/>
                <w:sz w:val="22"/>
                <w:szCs w:val="22"/>
                <w:lang w:bidi="ar-SA"/>
              </w:rPr>
            </w:pPr>
            <w:r w:rsidRPr="00F575FF">
              <w:rPr>
                <w:b/>
                <w:bCs w:val="0"/>
                <w:sz w:val="22"/>
                <w:szCs w:val="22"/>
                <w:lang w:bidi="ar-SA"/>
              </w:rPr>
              <w:t>[</w:t>
            </w:r>
            <w:r w:rsidR="000D497F" w:rsidRPr="00F575FF">
              <w:rPr>
                <w:b/>
                <w:bCs w:val="0"/>
                <w:sz w:val="22"/>
                <w:szCs w:val="22"/>
                <w:lang w:bidi="ar-SA"/>
              </w:rPr>
              <w:t xml:space="preserve">G-SIB </w:t>
            </w:r>
            <w:r w:rsidR="007173F1" w:rsidRPr="00F575FF">
              <w:rPr>
                <w:b/>
                <w:bCs w:val="0"/>
                <w:sz w:val="22"/>
                <w:szCs w:val="22"/>
                <w:lang w:bidi="ar-SA"/>
              </w:rPr>
              <w:t>AFFILIATE</w:t>
            </w:r>
            <w:r w:rsidRPr="00F575FF">
              <w:rPr>
                <w:b/>
                <w:bCs w:val="0"/>
                <w:sz w:val="22"/>
                <w:szCs w:val="22"/>
                <w:lang w:bidi="ar-SA"/>
              </w:rPr>
              <w:t xml:space="preserve"> 1</w:t>
            </w:r>
            <w:r w:rsidR="001C3519" w:rsidRPr="00F575FF">
              <w:rPr>
                <w:b/>
                <w:bCs w:val="0"/>
                <w:sz w:val="22"/>
                <w:szCs w:val="22"/>
                <w:lang w:bidi="ar-SA"/>
              </w:rPr>
              <w:t>, etc.</w:t>
            </w:r>
            <w:r w:rsidRPr="00F575FF">
              <w:rPr>
                <w:b/>
                <w:bCs w:val="0"/>
                <w:sz w:val="22"/>
                <w:szCs w:val="22"/>
                <w:lang w:bidi="ar-SA"/>
              </w:rPr>
              <w:t>]</w:t>
            </w:r>
            <w:r>
              <w:rPr>
                <w:rStyle w:val="FootnoteReference"/>
                <w:b/>
                <w:bCs w:val="0"/>
                <w:sz w:val="22"/>
                <w:szCs w:val="22"/>
                <w:lang w:bidi="ar-SA"/>
              </w:rPr>
              <w:footnoteReference w:id="11"/>
            </w:r>
          </w:p>
        </w:tc>
      </w:tr>
      <w:tr w:rsidR="00002E85" w:rsidTr="00753B7C">
        <w:tc>
          <w:tcPr>
            <w:tcW w:w="810" w:type="dxa"/>
            <w:tcBorders>
              <w:top w:val="nil"/>
              <w:left w:val="nil"/>
              <w:bottom w:val="nil"/>
              <w:right w:val="nil"/>
            </w:tcBorders>
          </w:tcPr>
          <w:p w:rsidR="00D90149" w:rsidRPr="00F575FF" w:rsidRDefault="005D11B0" w:rsidP="00753B7C">
            <w:pPr>
              <w:pStyle w:val="Heading2"/>
              <w:numPr>
                <w:ilvl w:val="0"/>
                <w:numId w:val="0"/>
              </w:numPr>
              <w:spacing w:after="0"/>
              <w:rPr>
                <w:sz w:val="22"/>
                <w:szCs w:val="22"/>
                <w:lang w:bidi="ar-SA"/>
              </w:rPr>
            </w:pPr>
            <w:r w:rsidRPr="00F575FF">
              <w:rPr>
                <w:sz w:val="22"/>
                <w:szCs w:val="22"/>
                <w:lang w:bidi="ar-SA"/>
              </w:rPr>
              <w:t>By:</w:t>
            </w:r>
          </w:p>
        </w:tc>
        <w:tc>
          <w:tcPr>
            <w:tcW w:w="3888" w:type="dxa"/>
            <w:tcBorders>
              <w:top w:val="nil"/>
              <w:left w:val="nil"/>
              <w:bottom w:val="single" w:sz="4" w:space="0" w:color="auto"/>
              <w:right w:val="nil"/>
            </w:tcBorders>
          </w:tcPr>
          <w:p w:rsidR="00D90149" w:rsidRPr="00F575FF" w:rsidRDefault="005D11B0" w:rsidP="00753B7C">
            <w:pPr>
              <w:pStyle w:val="Heading2"/>
              <w:numPr>
                <w:ilvl w:val="0"/>
                <w:numId w:val="0"/>
              </w:numPr>
              <w:spacing w:after="0"/>
              <w:rPr>
                <w:i/>
                <w:iCs/>
                <w:sz w:val="22"/>
                <w:szCs w:val="22"/>
                <w:lang w:bidi="ar-SA"/>
              </w:rPr>
            </w:pPr>
            <w:r w:rsidRPr="00F575FF">
              <w:rPr>
                <w:i/>
                <w:iCs/>
                <w:sz w:val="22"/>
                <w:szCs w:val="22"/>
                <w:lang w:bidi="ar-SA"/>
              </w:rPr>
              <w:t>/S/</w:t>
            </w:r>
          </w:p>
        </w:tc>
      </w:tr>
      <w:tr w:rsidR="00002E85" w:rsidTr="00753B7C">
        <w:tc>
          <w:tcPr>
            <w:tcW w:w="810" w:type="dxa"/>
            <w:tcBorders>
              <w:top w:val="nil"/>
              <w:left w:val="nil"/>
              <w:bottom w:val="nil"/>
              <w:right w:val="nil"/>
            </w:tcBorders>
          </w:tcPr>
          <w:p w:rsidR="00D90149" w:rsidRPr="00F575FF" w:rsidRDefault="005D11B0" w:rsidP="00753B7C">
            <w:pPr>
              <w:pStyle w:val="Heading2"/>
              <w:numPr>
                <w:ilvl w:val="0"/>
                <w:numId w:val="0"/>
              </w:numPr>
              <w:spacing w:after="0"/>
              <w:rPr>
                <w:sz w:val="22"/>
                <w:szCs w:val="22"/>
                <w:lang w:bidi="ar-SA"/>
              </w:rPr>
            </w:pPr>
            <w:r w:rsidRPr="00F575FF">
              <w:rPr>
                <w:sz w:val="22"/>
                <w:szCs w:val="22"/>
                <w:lang w:bidi="ar-SA"/>
              </w:rPr>
              <w:t>Name:</w:t>
            </w:r>
          </w:p>
        </w:tc>
        <w:tc>
          <w:tcPr>
            <w:tcW w:w="3888" w:type="dxa"/>
            <w:tcBorders>
              <w:top w:val="nil"/>
              <w:left w:val="nil"/>
              <w:bottom w:val="nil"/>
              <w:right w:val="nil"/>
            </w:tcBorders>
          </w:tcPr>
          <w:p w:rsidR="00D90149" w:rsidRPr="00F575FF" w:rsidRDefault="00D90149" w:rsidP="00753B7C">
            <w:pPr>
              <w:pStyle w:val="Heading2"/>
              <w:numPr>
                <w:ilvl w:val="0"/>
                <w:numId w:val="0"/>
              </w:numPr>
              <w:spacing w:after="0"/>
              <w:rPr>
                <w:sz w:val="22"/>
                <w:szCs w:val="22"/>
                <w:lang w:bidi="ar-SA"/>
              </w:rPr>
            </w:pPr>
          </w:p>
        </w:tc>
      </w:tr>
      <w:tr w:rsidR="00002E85" w:rsidTr="00753B7C">
        <w:tc>
          <w:tcPr>
            <w:tcW w:w="810" w:type="dxa"/>
            <w:tcBorders>
              <w:top w:val="nil"/>
              <w:left w:val="nil"/>
              <w:bottom w:val="nil"/>
              <w:right w:val="nil"/>
            </w:tcBorders>
          </w:tcPr>
          <w:p w:rsidR="00D90149" w:rsidRPr="00F575FF" w:rsidRDefault="005D11B0" w:rsidP="00753B7C">
            <w:pPr>
              <w:pStyle w:val="Heading2"/>
              <w:numPr>
                <w:ilvl w:val="0"/>
                <w:numId w:val="0"/>
              </w:numPr>
              <w:spacing w:after="0"/>
              <w:rPr>
                <w:sz w:val="22"/>
                <w:szCs w:val="22"/>
                <w:lang w:bidi="ar-SA"/>
              </w:rPr>
            </w:pPr>
            <w:r w:rsidRPr="00F575FF">
              <w:rPr>
                <w:sz w:val="22"/>
                <w:szCs w:val="22"/>
                <w:lang w:bidi="ar-SA"/>
              </w:rPr>
              <w:t>Title:</w:t>
            </w:r>
          </w:p>
        </w:tc>
        <w:tc>
          <w:tcPr>
            <w:tcW w:w="3888" w:type="dxa"/>
            <w:tcBorders>
              <w:top w:val="nil"/>
              <w:left w:val="nil"/>
              <w:bottom w:val="nil"/>
              <w:right w:val="nil"/>
            </w:tcBorders>
          </w:tcPr>
          <w:p w:rsidR="00D90149" w:rsidRPr="00F575FF" w:rsidRDefault="00D90149" w:rsidP="00753B7C">
            <w:pPr>
              <w:pStyle w:val="Heading2"/>
              <w:numPr>
                <w:ilvl w:val="0"/>
                <w:numId w:val="0"/>
              </w:numPr>
              <w:spacing w:after="0"/>
              <w:rPr>
                <w:sz w:val="22"/>
                <w:szCs w:val="22"/>
                <w:lang w:bidi="ar-SA"/>
              </w:rPr>
            </w:pPr>
          </w:p>
        </w:tc>
      </w:tr>
    </w:tbl>
    <w:p w:rsidR="00D90149" w:rsidRPr="00F575FF" w:rsidRDefault="00D90149" w:rsidP="00EE67DE">
      <w:pPr>
        <w:pStyle w:val="BodyText"/>
        <w:rPr>
          <w:sz w:val="22"/>
          <w:szCs w:val="22"/>
        </w:rPr>
      </w:pPr>
    </w:p>
    <w:p w:rsidR="00D90149" w:rsidRPr="00F575FF" w:rsidRDefault="005D11B0" w:rsidP="00D90149">
      <w:pPr>
        <w:pStyle w:val="Heading2"/>
        <w:numPr>
          <w:ilvl w:val="0"/>
          <w:numId w:val="0"/>
        </w:numPr>
        <w:rPr>
          <w:sz w:val="22"/>
          <w:szCs w:val="22"/>
          <w:lang w:bidi="ar-SA"/>
        </w:rPr>
      </w:pPr>
      <w:r w:rsidRPr="00F575FF">
        <w:rPr>
          <w:sz w:val="22"/>
          <w:szCs w:val="22"/>
          <w:lang w:bidi="ar-SA"/>
        </w:rPr>
        <w:br w:type="page"/>
      </w:r>
    </w:p>
    <w:p w:rsidR="00D90149" w:rsidRPr="00F575FF" w:rsidRDefault="00D90149" w:rsidP="00EE67DE">
      <w:pPr>
        <w:pStyle w:val="BodyText"/>
        <w:rPr>
          <w:sz w:val="22"/>
          <w:szCs w:val="22"/>
          <w:lang w:bidi="ar-SA"/>
        </w:rPr>
      </w:pPr>
    </w:p>
    <w:tbl>
      <w:tblPr>
        <w:tblStyle w:val="TableGrid"/>
        <w:tblW w:w="0" w:type="auto"/>
        <w:tblInd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88"/>
      </w:tblGrid>
      <w:tr w:rsidR="00002E85" w:rsidTr="00753B7C">
        <w:trPr>
          <w:trHeight w:val="1042"/>
        </w:trPr>
        <w:tc>
          <w:tcPr>
            <w:tcW w:w="4698" w:type="dxa"/>
            <w:gridSpan w:val="2"/>
            <w:tcBorders>
              <w:top w:val="nil"/>
              <w:left w:val="nil"/>
              <w:bottom w:val="nil"/>
              <w:right w:val="nil"/>
            </w:tcBorders>
          </w:tcPr>
          <w:p w:rsidR="00D90149" w:rsidRPr="00F575FF" w:rsidRDefault="005D11B0" w:rsidP="0089231A">
            <w:pPr>
              <w:pStyle w:val="Heading2"/>
              <w:numPr>
                <w:ilvl w:val="0"/>
                <w:numId w:val="0"/>
              </w:numPr>
              <w:rPr>
                <w:b/>
                <w:bCs w:val="0"/>
                <w:sz w:val="22"/>
                <w:szCs w:val="22"/>
                <w:lang w:bidi="ar-SA"/>
              </w:rPr>
            </w:pPr>
            <w:r w:rsidRPr="00F575FF">
              <w:rPr>
                <w:b/>
                <w:bCs w:val="0"/>
                <w:sz w:val="22"/>
                <w:szCs w:val="22"/>
                <w:lang w:bidi="ar-SA"/>
              </w:rPr>
              <w:t xml:space="preserve">[COUNTERPARTY </w:t>
            </w:r>
            <w:r w:rsidR="0089231A" w:rsidRPr="00F575FF">
              <w:rPr>
                <w:b/>
                <w:bCs w:val="0"/>
                <w:sz w:val="22"/>
                <w:szCs w:val="22"/>
                <w:lang w:bidi="ar-SA"/>
              </w:rPr>
              <w:t>ENTITY</w:t>
            </w:r>
            <w:r w:rsidRPr="00F575FF">
              <w:rPr>
                <w:b/>
                <w:bCs w:val="0"/>
                <w:sz w:val="22"/>
                <w:szCs w:val="22"/>
                <w:lang w:bidi="ar-SA"/>
              </w:rPr>
              <w:t>]</w:t>
            </w:r>
          </w:p>
        </w:tc>
      </w:tr>
      <w:tr w:rsidR="00002E85" w:rsidTr="00753B7C">
        <w:tc>
          <w:tcPr>
            <w:tcW w:w="810" w:type="dxa"/>
            <w:tcBorders>
              <w:top w:val="nil"/>
              <w:left w:val="nil"/>
              <w:bottom w:val="nil"/>
              <w:right w:val="nil"/>
            </w:tcBorders>
          </w:tcPr>
          <w:p w:rsidR="00D90149" w:rsidRPr="00F575FF" w:rsidRDefault="005D11B0" w:rsidP="00753B7C">
            <w:pPr>
              <w:pStyle w:val="Heading2"/>
              <w:numPr>
                <w:ilvl w:val="0"/>
                <w:numId w:val="0"/>
              </w:numPr>
              <w:spacing w:after="0"/>
              <w:rPr>
                <w:sz w:val="22"/>
                <w:szCs w:val="22"/>
                <w:lang w:bidi="ar-SA"/>
              </w:rPr>
            </w:pPr>
            <w:r w:rsidRPr="00F575FF">
              <w:rPr>
                <w:sz w:val="22"/>
                <w:szCs w:val="22"/>
                <w:lang w:bidi="ar-SA"/>
              </w:rPr>
              <w:t>By:</w:t>
            </w:r>
          </w:p>
        </w:tc>
        <w:tc>
          <w:tcPr>
            <w:tcW w:w="3888" w:type="dxa"/>
            <w:tcBorders>
              <w:top w:val="nil"/>
              <w:left w:val="nil"/>
              <w:bottom w:val="single" w:sz="4" w:space="0" w:color="auto"/>
              <w:right w:val="nil"/>
            </w:tcBorders>
          </w:tcPr>
          <w:p w:rsidR="00D90149" w:rsidRPr="00F575FF" w:rsidRDefault="005D11B0" w:rsidP="00753B7C">
            <w:pPr>
              <w:pStyle w:val="Heading2"/>
              <w:numPr>
                <w:ilvl w:val="0"/>
                <w:numId w:val="0"/>
              </w:numPr>
              <w:spacing w:after="0"/>
              <w:rPr>
                <w:i/>
                <w:iCs/>
                <w:sz w:val="22"/>
                <w:szCs w:val="22"/>
                <w:lang w:bidi="ar-SA"/>
              </w:rPr>
            </w:pPr>
            <w:r w:rsidRPr="00F575FF">
              <w:rPr>
                <w:i/>
                <w:iCs/>
                <w:sz w:val="22"/>
                <w:szCs w:val="22"/>
                <w:lang w:bidi="ar-SA"/>
              </w:rPr>
              <w:t>/S/</w:t>
            </w:r>
          </w:p>
        </w:tc>
      </w:tr>
      <w:tr w:rsidR="00002E85" w:rsidTr="00753B7C">
        <w:tc>
          <w:tcPr>
            <w:tcW w:w="810" w:type="dxa"/>
            <w:tcBorders>
              <w:top w:val="nil"/>
              <w:left w:val="nil"/>
              <w:bottom w:val="nil"/>
              <w:right w:val="nil"/>
            </w:tcBorders>
          </w:tcPr>
          <w:p w:rsidR="00D90149" w:rsidRPr="00F575FF" w:rsidRDefault="005D11B0" w:rsidP="00753B7C">
            <w:pPr>
              <w:pStyle w:val="Heading2"/>
              <w:numPr>
                <w:ilvl w:val="0"/>
                <w:numId w:val="0"/>
              </w:numPr>
              <w:spacing w:after="0"/>
              <w:rPr>
                <w:sz w:val="22"/>
                <w:szCs w:val="22"/>
                <w:lang w:bidi="ar-SA"/>
              </w:rPr>
            </w:pPr>
            <w:r w:rsidRPr="00F575FF">
              <w:rPr>
                <w:sz w:val="22"/>
                <w:szCs w:val="22"/>
                <w:lang w:bidi="ar-SA"/>
              </w:rPr>
              <w:t>Name:</w:t>
            </w:r>
          </w:p>
        </w:tc>
        <w:tc>
          <w:tcPr>
            <w:tcW w:w="3888" w:type="dxa"/>
            <w:tcBorders>
              <w:top w:val="nil"/>
              <w:left w:val="nil"/>
              <w:bottom w:val="nil"/>
              <w:right w:val="nil"/>
            </w:tcBorders>
          </w:tcPr>
          <w:p w:rsidR="00D90149" w:rsidRPr="00F575FF" w:rsidRDefault="00D90149" w:rsidP="00753B7C">
            <w:pPr>
              <w:pStyle w:val="Heading2"/>
              <w:numPr>
                <w:ilvl w:val="0"/>
                <w:numId w:val="0"/>
              </w:numPr>
              <w:spacing w:after="0"/>
              <w:rPr>
                <w:sz w:val="22"/>
                <w:szCs w:val="22"/>
                <w:lang w:bidi="ar-SA"/>
              </w:rPr>
            </w:pPr>
          </w:p>
        </w:tc>
      </w:tr>
      <w:tr w:rsidR="00002E85" w:rsidTr="00753B7C">
        <w:tc>
          <w:tcPr>
            <w:tcW w:w="810" w:type="dxa"/>
            <w:tcBorders>
              <w:top w:val="nil"/>
              <w:left w:val="nil"/>
              <w:bottom w:val="nil"/>
              <w:right w:val="nil"/>
            </w:tcBorders>
          </w:tcPr>
          <w:p w:rsidR="00D90149" w:rsidRPr="00F575FF" w:rsidRDefault="005D11B0" w:rsidP="00753B7C">
            <w:pPr>
              <w:pStyle w:val="Heading2"/>
              <w:numPr>
                <w:ilvl w:val="0"/>
                <w:numId w:val="0"/>
              </w:numPr>
              <w:spacing w:after="0"/>
              <w:rPr>
                <w:sz w:val="22"/>
                <w:szCs w:val="22"/>
                <w:lang w:bidi="ar-SA"/>
              </w:rPr>
            </w:pPr>
            <w:r w:rsidRPr="00F575FF">
              <w:rPr>
                <w:sz w:val="22"/>
                <w:szCs w:val="22"/>
                <w:lang w:bidi="ar-SA"/>
              </w:rPr>
              <w:t>Title:</w:t>
            </w:r>
          </w:p>
        </w:tc>
        <w:tc>
          <w:tcPr>
            <w:tcW w:w="3888" w:type="dxa"/>
            <w:tcBorders>
              <w:top w:val="nil"/>
              <w:left w:val="nil"/>
              <w:bottom w:val="nil"/>
              <w:right w:val="nil"/>
            </w:tcBorders>
          </w:tcPr>
          <w:p w:rsidR="00D90149" w:rsidRPr="00F575FF" w:rsidRDefault="00D90149" w:rsidP="00753B7C">
            <w:pPr>
              <w:pStyle w:val="Heading2"/>
              <w:numPr>
                <w:ilvl w:val="0"/>
                <w:numId w:val="0"/>
              </w:numPr>
              <w:spacing w:after="0"/>
              <w:rPr>
                <w:sz w:val="22"/>
                <w:szCs w:val="22"/>
                <w:lang w:bidi="ar-SA"/>
              </w:rPr>
            </w:pPr>
          </w:p>
        </w:tc>
      </w:tr>
    </w:tbl>
    <w:p w:rsidR="00D90149" w:rsidRPr="00F575FF" w:rsidRDefault="00D90149" w:rsidP="00EE67DE">
      <w:pPr>
        <w:pStyle w:val="BodyText"/>
        <w:rPr>
          <w:sz w:val="22"/>
          <w:szCs w:val="22"/>
          <w:lang w:bidi="ar-SA"/>
        </w:rPr>
      </w:pPr>
    </w:p>
    <w:p w:rsidR="00D90149" w:rsidRPr="00F575FF" w:rsidRDefault="00D90149" w:rsidP="00EE67DE">
      <w:pPr>
        <w:pStyle w:val="BodyText"/>
        <w:rPr>
          <w:sz w:val="22"/>
          <w:szCs w:val="22"/>
          <w:lang w:bidi="ar-SA"/>
        </w:rPr>
      </w:pPr>
    </w:p>
    <w:tbl>
      <w:tblPr>
        <w:tblStyle w:val="TableGrid"/>
        <w:tblW w:w="0" w:type="auto"/>
        <w:tblInd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88"/>
      </w:tblGrid>
      <w:tr w:rsidR="00002E85" w:rsidTr="00753B7C">
        <w:trPr>
          <w:trHeight w:val="1042"/>
        </w:trPr>
        <w:tc>
          <w:tcPr>
            <w:tcW w:w="4698" w:type="dxa"/>
            <w:gridSpan w:val="2"/>
            <w:tcBorders>
              <w:top w:val="nil"/>
              <w:left w:val="nil"/>
              <w:bottom w:val="nil"/>
              <w:right w:val="nil"/>
            </w:tcBorders>
          </w:tcPr>
          <w:p w:rsidR="00D90149" w:rsidRPr="00F575FF" w:rsidRDefault="005D11B0" w:rsidP="00D90149">
            <w:pPr>
              <w:pStyle w:val="Heading2"/>
              <w:numPr>
                <w:ilvl w:val="0"/>
                <w:numId w:val="0"/>
              </w:numPr>
              <w:rPr>
                <w:b/>
                <w:bCs w:val="0"/>
                <w:sz w:val="22"/>
                <w:szCs w:val="22"/>
                <w:lang w:bidi="ar-SA"/>
              </w:rPr>
            </w:pPr>
            <w:r w:rsidRPr="00F575FF">
              <w:rPr>
                <w:b/>
                <w:bCs w:val="0"/>
                <w:sz w:val="22"/>
                <w:szCs w:val="22"/>
                <w:lang w:bidi="ar-SA"/>
              </w:rPr>
              <w:t>[</w:t>
            </w:r>
            <w:r w:rsidR="001C3519" w:rsidRPr="00F575FF">
              <w:rPr>
                <w:b/>
                <w:bCs w:val="0"/>
                <w:sz w:val="22"/>
                <w:szCs w:val="22"/>
                <w:lang w:bidi="ar-SA"/>
              </w:rPr>
              <w:t xml:space="preserve">COUNTERPARTY </w:t>
            </w:r>
            <w:r w:rsidRPr="00F575FF">
              <w:rPr>
                <w:b/>
                <w:bCs w:val="0"/>
                <w:sz w:val="22"/>
                <w:szCs w:val="22"/>
                <w:lang w:bidi="ar-SA"/>
              </w:rPr>
              <w:t>AFFILIATE 1</w:t>
            </w:r>
            <w:r w:rsidR="001C3519" w:rsidRPr="00F575FF">
              <w:rPr>
                <w:b/>
                <w:bCs w:val="0"/>
                <w:sz w:val="22"/>
                <w:szCs w:val="22"/>
                <w:lang w:bidi="ar-SA"/>
              </w:rPr>
              <w:t>, etc.</w:t>
            </w:r>
            <w:r w:rsidRPr="00F575FF">
              <w:rPr>
                <w:b/>
                <w:bCs w:val="0"/>
                <w:sz w:val="22"/>
                <w:szCs w:val="22"/>
                <w:lang w:bidi="ar-SA"/>
              </w:rPr>
              <w:t>]</w:t>
            </w:r>
          </w:p>
        </w:tc>
      </w:tr>
      <w:tr w:rsidR="00002E85" w:rsidTr="00753B7C">
        <w:tc>
          <w:tcPr>
            <w:tcW w:w="810" w:type="dxa"/>
            <w:tcBorders>
              <w:top w:val="nil"/>
              <w:left w:val="nil"/>
              <w:bottom w:val="nil"/>
              <w:right w:val="nil"/>
            </w:tcBorders>
          </w:tcPr>
          <w:p w:rsidR="00D90149" w:rsidRPr="00F575FF" w:rsidRDefault="005D11B0" w:rsidP="00753B7C">
            <w:pPr>
              <w:pStyle w:val="Heading2"/>
              <w:numPr>
                <w:ilvl w:val="0"/>
                <w:numId w:val="0"/>
              </w:numPr>
              <w:spacing w:after="0"/>
              <w:rPr>
                <w:sz w:val="22"/>
                <w:szCs w:val="22"/>
                <w:lang w:bidi="ar-SA"/>
              </w:rPr>
            </w:pPr>
            <w:r w:rsidRPr="00F575FF">
              <w:rPr>
                <w:sz w:val="22"/>
                <w:szCs w:val="22"/>
                <w:lang w:bidi="ar-SA"/>
              </w:rPr>
              <w:t>By:</w:t>
            </w:r>
          </w:p>
        </w:tc>
        <w:tc>
          <w:tcPr>
            <w:tcW w:w="3888" w:type="dxa"/>
            <w:tcBorders>
              <w:top w:val="nil"/>
              <w:left w:val="nil"/>
              <w:bottom w:val="single" w:sz="4" w:space="0" w:color="auto"/>
              <w:right w:val="nil"/>
            </w:tcBorders>
          </w:tcPr>
          <w:p w:rsidR="00D90149" w:rsidRPr="00F575FF" w:rsidRDefault="005D11B0" w:rsidP="00753B7C">
            <w:pPr>
              <w:pStyle w:val="Heading2"/>
              <w:numPr>
                <w:ilvl w:val="0"/>
                <w:numId w:val="0"/>
              </w:numPr>
              <w:spacing w:after="0"/>
              <w:rPr>
                <w:i/>
                <w:iCs/>
                <w:sz w:val="22"/>
                <w:szCs w:val="22"/>
                <w:lang w:bidi="ar-SA"/>
              </w:rPr>
            </w:pPr>
            <w:r w:rsidRPr="00F575FF">
              <w:rPr>
                <w:i/>
                <w:iCs/>
                <w:sz w:val="22"/>
                <w:szCs w:val="22"/>
                <w:lang w:bidi="ar-SA"/>
              </w:rPr>
              <w:t>/S/</w:t>
            </w:r>
          </w:p>
        </w:tc>
      </w:tr>
      <w:tr w:rsidR="00002E85" w:rsidTr="00753B7C">
        <w:tc>
          <w:tcPr>
            <w:tcW w:w="810" w:type="dxa"/>
            <w:tcBorders>
              <w:top w:val="nil"/>
              <w:left w:val="nil"/>
              <w:bottom w:val="nil"/>
              <w:right w:val="nil"/>
            </w:tcBorders>
          </w:tcPr>
          <w:p w:rsidR="00D90149" w:rsidRPr="00F575FF" w:rsidRDefault="005D11B0" w:rsidP="00753B7C">
            <w:pPr>
              <w:pStyle w:val="Heading2"/>
              <w:numPr>
                <w:ilvl w:val="0"/>
                <w:numId w:val="0"/>
              </w:numPr>
              <w:spacing w:after="0"/>
              <w:rPr>
                <w:sz w:val="22"/>
                <w:szCs w:val="22"/>
                <w:lang w:bidi="ar-SA"/>
              </w:rPr>
            </w:pPr>
            <w:r w:rsidRPr="00F575FF">
              <w:rPr>
                <w:sz w:val="22"/>
                <w:szCs w:val="22"/>
                <w:lang w:bidi="ar-SA"/>
              </w:rPr>
              <w:t>Name:</w:t>
            </w:r>
          </w:p>
        </w:tc>
        <w:tc>
          <w:tcPr>
            <w:tcW w:w="3888" w:type="dxa"/>
            <w:tcBorders>
              <w:top w:val="nil"/>
              <w:left w:val="nil"/>
              <w:bottom w:val="nil"/>
              <w:right w:val="nil"/>
            </w:tcBorders>
          </w:tcPr>
          <w:p w:rsidR="00D90149" w:rsidRPr="00F575FF" w:rsidRDefault="00D90149" w:rsidP="00753B7C">
            <w:pPr>
              <w:pStyle w:val="Heading2"/>
              <w:numPr>
                <w:ilvl w:val="0"/>
                <w:numId w:val="0"/>
              </w:numPr>
              <w:spacing w:after="0"/>
              <w:rPr>
                <w:sz w:val="22"/>
                <w:szCs w:val="22"/>
                <w:lang w:bidi="ar-SA"/>
              </w:rPr>
            </w:pPr>
          </w:p>
        </w:tc>
      </w:tr>
      <w:tr w:rsidR="00002E85" w:rsidTr="00753B7C">
        <w:tc>
          <w:tcPr>
            <w:tcW w:w="810" w:type="dxa"/>
            <w:tcBorders>
              <w:top w:val="nil"/>
              <w:left w:val="nil"/>
              <w:bottom w:val="nil"/>
              <w:right w:val="nil"/>
            </w:tcBorders>
          </w:tcPr>
          <w:p w:rsidR="00D90149" w:rsidRPr="00F575FF" w:rsidRDefault="005D11B0" w:rsidP="00753B7C">
            <w:pPr>
              <w:pStyle w:val="Heading2"/>
              <w:numPr>
                <w:ilvl w:val="0"/>
                <w:numId w:val="0"/>
              </w:numPr>
              <w:spacing w:after="0"/>
              <w:rPr>
                <w:sz w:val="22"/>
                <w:szCs w:val="22"/>
                <w:lang w:bidi="ar-SA"/>
              </w:rPr>
            </w:pPr>
            <w:r w:rsidRPr="00F575FF">
              <w:rPr>
                <w:sz w:val="22"/>
                <w:szCs w:val="22"/>
                <w:lang w:bidi="ar-SA"/>
              </w:rPr>
              <w:t>Title:</w:t>
            </w:r>
          </w:p>
        </w:tc>
        <w:tc>
          <w:tcPr>
            <w:tcW w:w="3888" w:type="dxa"/>
            <w:tcBorders>
              <w:top w:val="nil"/>
              <w:left w:val="nil"/>
              <w:bottom w:val="nil"/>
              <w:right w:val="nil"/>
            </w:tcBorders>
          </w:tcPr>
          <w:p w:rsidR="00D90149" w:rsidRPr="00F575FF" w:rsidRDefault="00D90149" w:rsidP="00753B7C">
            <w:pPr>
              <w:pStyle w:val="Heading2"/>
              <w:numPr>
                <w:ilvl w:val="0"/>
                <w:numId w:val="0"/>
              </w:numPr>
              <w:spacing w:after="0"/>
              <w:rPr>
                <w:sz w:val="22"/>
                <w:szCs w:val="22"/>
                <w:lang w:bidi="ar-SA"/>
              </w:rPr>
            </w:pPr>
          </w:p>
        </w:tc>
      </w:tr>
    </w:tbl>
    <w:p w:rsidR="00D90149" w:rsidRPr="00F575FF" w:rsidRDefault="00D90149" w:rsidP="00EE67DE">
      <w:pPr>
        <w:rPr>
          <w:sz w:val="22"/>
          <w:szCs w:val="22"/>
          <w:lang w:bidi="ar-SA"/>
        </w:rPr>
      </w:pPr>
    </w:p>
    <w:p w:rsidR="00D90149" w:rsidRPr="00F575FF" w:rsidRDefault="00D90149" w:rsidP="00EE67DE">
      <w:pPr>
        <w:rPr>
          <w:sz w:val="22"/>
          <w:szCs w:val="22"/>
          <w:lang w:bidi="ar-SA"/>
        </w:rPr>
      </w:pPr>
    </w:p>
    <w:p w:rsidR="00E635E6" w:rsidRPr="00F575FF" w:rsidRDefault="005D11B0" w:rsidP="007A4C0C">
      <w:pPr>
        <w:pStyle w:val="Heading2"/>
        <w:numPr>
          <w:ilvl w:val="0"/>
          <w:numId w:val="0"/>
        </w:numPr>
        <w:ind w:left="720"/>
        <w:rPr>
          <w:sz w:val="22"/>
          <w:szCs w:val="22"/>
          <w:highlight w:val="yellow"/>
          <w:lang w:bidi="ar-SA"/>
        </w:rPr>
      </w:pPr>
      <w:r w:rsidRPr="00F575FF">
        <w:rPr>
          <w:sz w:val="22"/>
          <w:szCs w:val="22"/>
          <w:highlight w:val="yellow"/>
          <w:lang w:bidi="ar-SA"/>
        </w:rPr>
        <w:br w:type="page"/>
      </w:r>
    </w:p>
    <w:p w:rsidR="00FB4170" w:rsidRPr="00F575FF" w:rsidRDefault="00FB4170" w:rsidP="00172D49">
      <w:pPr>
        <w:pStyle w:val="BodyText"/>
        <w:jc w:val="right"/>
        <w:rPr>
          <w:b/>
          <w:bCs/>
          <w:sz w:val="22"/>
          <w:szCs w:val="22"/>
          <w:u w:val="single"/>
          <w:lang w:bidi="ar-SA"/>
        </w:rPr>
        <w:sectPr w:rsidR="00FB4170" w:rsidRPr="00F575FF" w:rsidSect="00DC244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rsidR="00906708" w:rsidRPr="00F575FF" w:rsidRDefault="005D11B0" w:rsidP="00906708">
      <w:pPr>
        <w:pStyle w:val="BodyText"/>
        <w:jc w:val="right"/>
        <w:rPr>
          <w:b/>
          <w:bCs/>
          <w:sz w:val="22"/>
          <w:szCs w:val="22"/>
          <w:u w:val="single"/>
          <w:lang w:bidi="ar-SA"/>
        </w:rPr>
      </w:pPr>
      <w:r w:rsidRPr="00F575FF">
        <w:rPr>
          <w:b/>
          <w:bCs/>
          <w:sz w:val="22"/>
          <w:szCs w:val="22"/>
          <w:u w:val="single"/>
          <w:lang w:bidi="ar-SA"/>
        </w:rPr>
        <w:lastRenderedPageBreak/>
        <w:t>Schedule 1</w:t>
      </w:r>
      <w:r>
        <w:rPr>
          <w:rStyle w:val="FootnoteReference"/>
          <w:b/>
          <w:bCs/>
          <w:sz w:val="22"/>
          <w:szCs w:val="22"/>
          <w:u w:val="single"/>
          <w:lang w:bidi="ar-SA"/>
        </w:rPr>
        <w:footnoteReference w:id="12"/>
      </w:r>
    </w:p>
    <w:p w:rsidR="00906708" w:rsidRPr="00F575FF" w:rsidRDefault="005D11B0" w:rsidP="00906708">
      <w:pPr>
        <w:pStyle w:val="BodyText"/>
        <w:jc w:val="center"/>
        <w:rPr>
          <w:sz w:val="22"/>
          <w:szCs w:val="22"/>
          <w:lang w:bidi="ar-SA"/>
        </w:rPr>
      </w:pPr>
      <w:r w:rsidRPr="00F575FF">
        <w:rPr>
          <w:sz w:val="22"/>
          <w:szCs w:val="22"/>
          <w:lang w:bidi="ar-SA"/>
        </w:rPr>
        <w:t>[Insert list of G-SIB Affiliates Party to the Agreement]</w:t>
      </w:r>
    </w:p>
    <w:p w:rsidR="00906708" w:rsidRPr="00F575FF" w:rsidRDefault="00906708" w:rsidP="00906708">
      <w:pPr>
        <w:pStyle w:val="BodyText"/>
        <w:jc w:val="right"/>
        <w:rPr>
          <w:sz w:val="22"/>
          <w:szCs w:val="22"/>
          <w:lang w:bidi="ar-SA"/>
        </w:rPr>
        <w:sectPr w:rsidR="00906708" w:rsidRPr="00F575FF" w:rsidSect="00DC2442">
          <w:pgSz w:w="12240" w:h="15840" w:code="1"/>
          <w:pgMar w:top="1440" w:right="1440" w:bottom="1440" w:left="1440" w:header="720" w:footer="720" w:gutter="0"/>
          <w:cols w:space="720"/>
          <w:titlePg/>
          <w:docGrid w:linePitch="360"/>
        </w:sectPr>
      </w:pPr>
    </w:p>
    <w:p w:rsidR="006F5B9A" w:rsidRPr="00F575FF" w:rsidRDefault="005D11B0" w:rsidP="00FB4170">
      <w:pPr>
        <w:pStyle w:val="BodyText"/>
        <w:jc w:val="right"/>
        <w:rPr>
          <w:sz w:val="22"/>
          <w:szCs w:val="22"/>
          <w:lang w:bidi="ar-SA"/>
        </w:rPr>
      </w:pPr>
      <w:r w:rsidRPr="00F575FF">
        <w:rPr>
          <w:b/>
          <w:bCs/>
          <w:sz w:val="22"/>
          <w:szCs w:val="22"/>
          <w:u w:val="single"/>
          <w:lang w:bidi="ar-SA"/>
        </w:rPr>
        <w:lastRenderedPageBreak/>
        <w:t>Appendix</w:t>
      </w:r>
    </w:p>
    <w:p w:rsidR="006F5B9A" w:rsidRPr="00F575FF" w:rsidRDefault="005D11B0" w:rsidP="006F5B9A">
      <w:pPr>
        <w:pStyle w:val="BodyText"/>
        <w:numPr>
          <w:ilvl w:val="0"/>
          <w:numId w:val="12"/>
        </w:numPr>
        <w:ind w:left="0" w:firstLine="720"/>
        <w:rPr>
          <w:sz w:val="22"/>
          <w:szCs w:val="22"/>
        </w:rPr>
      </w:pPr>
      <w:r w:rsidRPr="00F575FF">
        <w:rPr>
          <w:sz w:val="22"/>
          <w:szCs w:val="22"/>
          <w:u w:val="single"/>
        </w:rPr>
        <w:t>Defined Terms</w:t>
      </w:r>
      <w:r w:rsidRPr="00F575FF">
        <w:rPr>
          <w:sz w:val="22"/>
          <w:szCs w:val="22"/>
        </w:rPr>
        <w:t>. As used in this Agreement, the following terms have the meanings specified below:</w:t>
      </w:r>
    </w:p>
    <w:p w:rsidR="006F5B9A" w:rsidRPr="00F575FF" w:rsidRDefault="005D11B0" w:rsidP="006F5B9A">
      <w:pPr>
        <w:pStyle w:val="BodyText"/>
        <w:rPr>
          <w:sz w:val="22"/>
          <w:szCs w:val="22"/>
        </w:rPr>
      </w:pPr>
      <w:r w:rsidRPr="00F575FF">
        <w:rPr>
          <w:sz w:val="22"/>
          <w:szCs w:val="22"/>
        </w:rPr>
        <w:t>“</w:t>
      </w:r>
      <w:r w:rsidRPr="00F575FF">
        <w:rPr>
          <w:i/>
          <w:iCs/>
          <w:sz w:val="22"/>
          <w:szCs w:val="22"/>
        </w:rPr>
        <w:t>Applicable Compliance</w:t>
      </w:r>
      <w:r w:rsidRPr="00F575FF">
        <w:rPr>
          <w:i/>
          <w:iCs/>
          <w:sz w:val="22"/>
          <w:szCs w:val="22"/>
        </w:rPr>
        <w:t xml:space="preserve"> Date</w:t>
      </w:r>
      <w:r w:rsidRPr="00F575FF">
        <w:rPr>
          <w:sz w:val="22"/>
          <w:szCs w:val="22"/>
        </w:rPr>
        <w:t>” means, (a) for a Covered Entity that was subject to the requirements of the QFC Stay Rules on January 1, 2018, with respect to a Covered Agreement: (1) if the Counterparty Entity is itself subject to the requirements of the QFC Stay Rules, January 1</w:t>
      </w:r>
      <w:r w:rsidRPr="00F575FF">
        <w:rPr>
          <w:sz w:val="22"/>
          <w:szCs w:val="22"/>
        </w:rPr>
        <w:t>, 2019; (2) if the Counterparty Entity is a Financial Counterparty (other than a Small Financial Institution) that is not itself subject to the requirements of the QFC Stay Rules, July 1, 2019 and (3) if the Counterparty Entity is an entity not described i</w:t>
      </w:r>
      <w:r w:rsidRPr="00F575FF">
        <w:rPr>
          <w:sz w:val="22"/>
          <w:szCs w:val="22"/>
        </w:rPr>
        <w:t>n clause (a)(1) or (a)(2) above, January 1, 2020; and (b) for a Covered Entity that becomes subject to the requirements of the QFC Stay Rules after January 1, 2018, with respect to a Covered Agreement: (1) if the Counterparty Entity is itself subject to th</w:t>
      </w:r>
      <w:r w:rsidRPr="00F575FF">
        <w:rPr>
          <w:sz w:val="22"/>
          <w:szCs w:val="22"/>
        </w:rPr>
        <w:t>e requirements of the QFC Stay Rules, the first day of the calendar quarter immediately following one year after the Covered Entity first became subject to the QFC Stay Rule, (2) if the Counterparty Entity is a Financial Counterparty (other than a Small Fi</w:t>
      </w:r>
      <w:r w:rsidRPr="00F575FF">
        <w:rPr>
          <w:sz w:val="22"/>
          <w:szCs w:val="22"/>
        </w:rPr>
        <w:t>nancial Institution) that is not itself subject to the requirements of the QFC Stay Rules, the first day of the calendar quarter immediately following 18 months from the date the Covered Entity first became subject to the QFC Stay Rule, and (3) if the Coun</w:t>
      </w:r>
      <w:r w:rsidRPr="00F575FF">
        <w:rPr>
          <w:sz w:val="22"/>
          <w:szCs w:val="22"/>
        </w:rPr>
        <w:t>terparty Entity is an entity not described in clause (b)(1) or (b)(2)</w:t>
      </w:r>
      <w:r w:rsidR="00F31401">
        <w:rPr>
          <w:sz w:val="22"/>
          <w:szCs w:val="22"/>
        </w:rPr>
        <w:t xml:space="preserve"> above</w:t>
      </w:r>
      <w:r w:rsidRPr="00F575FF">
        <w:rPr>
          <w:sz w:val="22"/>
          <w:szCs w:val="22"/>
        </w:rPr>
        <w:t>, the first day of the calendar quarter immediately following two years from the date the Covered Entity first became subject to the QFC Stay Rule.</w:t>
      </w:r>
    </w:p>
    <w:p w:rsidR="006F5B9A" w:rsidRPr="00F575FF" w:rsidRDefault="005D11B0" w:rsidP="006F5B9A">
      <w:pPr>
        <w:pStyle w:val="BodyText"/>
        <w:rPr>
          <w:sz w:val="22"/>
          <w:szCs w:val="22"/>
        </w:rPr>
      </w:pPr>
      <w:r w:rsidRPr="00F575FF">
        <w:rPr>
          <w:sz w:val="22"/>
          <w:szCs w:val="22"/>
        </w:rPr>
        <w:t>“</w:t>
      </w:r>
      <w:r w:rsidRPr="00F575FF">
        <w:rPr>
          <w:i/>
          <w:iCs/>
          <w:sz w:val="22"/>
          <w:szCs w:val="22"/>
        </w:rPr>
        <w:t>BHCA</w:t>
      </w:r>
      <w:r w:rsidRPr="00F575FF">
        <w:rPr>
          <w:sz w:val="22"/>
          <w:szCs w:val="22"/>
        </w:rPr>
        <w:t xml:space="preserve"> </w:t>
      </w:r>
      <w:r w:rsidRPr="00F575FF">
        <w:rPr>
          <w:i/>
          <w:iCs/>
          <w:sz w:val="22"/>
          <w:szCs w:val="22"/>
        </w:rPr>
        <w:t>Affiliate</w:t>
      </w:r>
      <w:r w:rsidRPr="00F575FF">
        <w:rPr>
          <w:sz w:val="22"/>
          <w:szCs w:val="22"/>
        </w:rPr>
        <w:t>” has the same mea</w:t>
      </w:r>
      <w:r w:rsidRPr="00F575FF">
        <w:rPr>
          <w:sz w:val="22"/>
          <w:szCs w:val="22"/>
        </w:rPr>
        <w:t>ning as the term “affiliate” as defined in, and shall be interpreted in accordance with</w:t>
      </w:r>
      <w:r w:rsidR="007F11AE">
        <w:rPr>
          <w:sz w:val="22"/>
          <w:szCs w:val="22"/>
        </w:rPr>
        <w:t>,</w:t>
      </w:r>
      <w:r w:rsidRPr="00F575FF">
        <w:rPr>
          <w:sz w:val="22"/>
          <w:szCs w:val="22"/>
        </w:rPr>
        <w:t xml:space="preserve"> 12 U.S.C. 1841(k). </w:t>
      </w:r>
    </w:p>
    <w:p w:rsidR="006F5B9A" w:rsidRPr="00F575FF" w:rsidRDefault="005D11B0" w:rsidP="006F5B9A">
      <w:pPr>
        <w:pStyle w:val="BodyText"/>
        <w:rPr>
          <w:sz w:val="22"/>
          <w:szCs w:val="22"/>
        </w:rPr>
      </w:pPr>
      <w:r w:rsidRPr="00F575FF">
        <w:rPr>
          <w:sz w:val="22"/>
          <w:szCs w:val="22"/>
        </w:rPr>
        <w:t>“</w:t>
      </w:r>
      <w:r w:rsidRPr="00F575FF">
        <w:rPr>
          <w:i/>
          <w:iCs/>
          <w:sz w:val="22"/>
          <w:szCs w:val="22"/>
        </w:rPr>
        <w:t>Chapter 11 Proceeding</w:t>
      </w:r>
      <w:r w:rsidRPr="00F575FF">
        <w:rPr>
          <w:sz w:val="22"/>
          <w:szCs w:val="22"/>
        </w:rPr>
        <w:t>” means a proceeding under Chapter 11 of the United States Bankruptcy Code.</w:t>
      </w:r>
    </w:p>
    <w:p w:rsidR="006F5B9A" w:rsidRPr="00F575FF" w:rsidRDefault="005D11B0" w:rsidP="006F5B9A">
      <w:pPr>
        <w:pStyle w:val="BodyText"/>
        <w:rPr>
          <w:sz w:val="22"/>
          <w:szCs w:val="22"/>
        </w:rPr>
      </w:pPr>
      <w:r w:rsidRPr="00F575FF">
        <w:rPr>
          <w:sz w:val="22"/>
          <w:szCs w:val="22"/>
        </w:rPr>
        <w:t>“</w:t>
      </w:r>
      <w:r w:rsidRPr="00F575FF">
        <w:rPr>
          <w:i/>
          <w:iCs/>
          <w:sz w:val="22"/>
          <w:szCs w:val="22"/>
        </w:rPr>
        <w:t>Consolidated Affiliate</w:t>
      </w:r>
      <w:r w:rsidRPr="00F575FF">
        <w:rPr>
          <w:sz w:val="22"/>
          <w:szCs w:val="22"/>
        </w:rPr>
        <w:t>” has the same meaning spe</w:t>
      </w:r>
      <w:r w:rsidRPr="00F575FF">
        <w:rPr>
          <w:sz w:val="22"/>
          <w:szCs w:val="22"/>
        </w:rPr>
        <w:t>cified in, and shall be interpreted in accordance with, 12 C.F.R. 252.81, 12 C.F.R. 382.1 and 12 C.F.R. 47.2.</w:t>
      </w:r>
    </w:p>
    <w:p w:rsidR="006F5B9A" w:rsidRPr="00F575FF" w:rsidRDefault="005D11B0" w:rsidP="006F5B9A">
      <w:pPr>
        <w:pStyle w:val="BodyText"/>
        <w:rPr>
          <w:sz w:val="22"/>
          <w:szCs w:val="22"/>
        </w:rPr>
      </w:pPr>
      <w:r w:rsidRPr="00F575FF">
        <w:rPr>
          <w:sz w:val="22"/>
          <w:szCs w:val="22"/>
        </w:rPr>
        <w:t>“</w:t>
      </w:r>
      <w:r w:rsidRPr="00F575FF">
        <w:rPr>
          <w:i/>
          <w:iCs/>
          <w:sz w:val="22"/>
          <w:szCs w:val="22"/>
        </w:rPr>
        <w:t>Counterparty Entity</w:t>
      </w:r>
      <w:r w:rsidRPr="00F575FF">
        <w:rPr>
          <w:sz w:val="22"/>
          <w:szCs w:val="22"/>
        </w:rPr>
        <w:t>” means a Party to this Agreement that is a member of the Counterparty Group.</w:t>
      </w:r>
    </w:p>
    <w:p w:rsidR="006F5B9A" w:rsidRPr="00F575FF" w:rsidRDefault="005D11B0" w:rsidP="006F5B9A">
      <w:pPr>
        <w:pStyle w:val="BodyText"/>
        <w:rPr>
          <w:sz w:val="22"/>
          <w:szCs w:val="22"/>
        </w:rPr>
      </w:pPr>
      <w:r w:rsidRPr="00F575FF">
        <w:rPr>
          <w:sz w:val="22"/>
          <w:szCs w:val="22"/>
        </w:rPr>
        <w:t>“</w:t>
      </w:r>
      <w:r w:rsidRPr="00F575FF">
        <w:rPr>
          <w:i/>
          <w:iCs/>
          <w:sz w:val="22"/>
          <w:szCs w:val="22"/>
        </w:rPr>
        <w:t>Counterparty Group</w:t>
      </w:r>
      <w:r w:rsidRPr="00F575FF">
        <w:rPr>
          <w:sz w:val="22"/>
          <w:szCs w:val="22"/>
        </w:rPr>
        <w:t>” has the meaning specified i</w:t>
      </w:r>
      <w:r w:rsidRPr="00F575FF">
        <w:rPr>
          <w:sz w:val="22"/>
          <w:szCs w:val="22"/>
        </w:rPr>
        <w:t>n the Recitals hereto.</w:t>
      </w:r>
    </w:p>
    <w:p w:rsidR="006F5B9A" w:rsidRPr="00F575FF" w:rsidRDefault="005D11B0" w:rsidP="006F5B9A">
      <w:pPr>
        <w:pStyle w:val="BodyText"/>
        <w:rPr>
          <w:sz w:val="22"/>
          <w:szCs w:val="22"/>
        </w:rPr>
      </w:pPr>
      <w:r w:rsidRPr="00F575FF">
        <w:rPr>
          <w:sz w:val="22"/>
          <w:szCs w:val="22"/>
        </w:rPr>
        <w:t>“</w:t>
      </w:r>
      <w:r w:rsidRPr="00F575FF">
        <w:rPr>
          <w:i/>
          <w:iCs/>
          <w:sz w:val="22"/>
          <w:szCs w:val="22"/>
        </w:rPr>
        <w:t>Counterparty Affiliate</w:t>
      </w:r>
      <w:r w:rsidRPr="00F575FF">
        <w:rPr>
          <w:sz w:val="22"/>
          <w:szCs w:val="22"/>
        </w:rPr>
        <w:t>” means a Consolidated Affiliate of a Counterparty Entity.</w:t>
      </w:r>
    </w:p>
    <w:p w:rsidR="006F5B9A" w:rsidRPr="00F575FF" w:rsidRDefault="005D11B0" w:rsidP="00533236">
      <w:pPr>
        <w:pStyle w:val="BodyText"/>
        <w:rPr>
          <w:sz w:val="22"/>
          <w:szCs w:val="22"/>
        </w:rPr>
      </w:pPr>
      <w:r w:rsidRPr="00F575FF">
        <w:rPr>
          <w:sz w:val="22"/>
          <w:szCs w:val="22"/>
        </w:rPr>
        <w:t>“</w:t>
      </w:r>
      <w:r w:rsidRPr="00F575FF">
        <w:rPr>
          <w:i/>
          <w:iCs/>
          <w:sz w:val="22"/>
          <w:szCs w:val="22"/>
        </w:rPr>
        <w:t>Covered Affiliate Credit Enhancement</w:t>
      </w:r>
      <w:r w:rsidRPr="00F575FF">
        <w:rPr>
          <w:sz w:val="22"/>
          <w:szCs w:val="22"/>
        </w:rPr>
        <w:t>” means a Credit Enhancement provided by a Covered Entity that is a BHCA Affiliate of a Direct Party.</w:t>
      </w:r>
    </w:p>
    <w:p w:rsidR="006F5B9A" w:rsidRPr="00F575FF" w:rsidRDefault="005D11B0" w:rsidP="006F5B9A">
      <w:pPr>
        <w:pStyle w:val="BodyText"/>
        <w:rPr>
          <w:sz w:val="22"/>
          <w:szCs w:val="22"/>
        </w:rPr>
      </w:pPr>
      <w:r w:rsidRPr="00F575FF">
        <w:rPr>
          <w:sz w:val="22"/>
          <w:szCs w:val="22"/>
        </w:rPr>
        <w:t>“</w:t>
      </w:r>
      <w:r w:rsidRPr="00F575FF">
        <w:rPr>
          <w:i/>
          <w:iCs/>
          <w:sz w:val="22"/>
          <w:szCs w:val="22"/>
        </w:rPr>
        <w:t xml:space="preserve">Covered </w:t>
      </w:r>
      <w:r w:rsidRPr="00F575FF">
        <w:rPr>
          <w:i/>
          <w:iCs/>
          <w:sz w:val="22"/>
          <w:szCs w:val="22"/>
        </w:rPr>
        <w:t>Affiliate Support Provider</w:t>
      </w:r>
      <w:r w:rsidRPr="00F575FF">
        <w:rPr>
          <w:sz w:val="22"/>
          <w:szCs w:val="22"/>
        </w:rPr>
        <w:t>” means an obligor on any Covered Affiliate Credit Enhancement, provided that it is not a Transferee.</w:t>
      </w:r>
    </w:p>
    <w:p w:rsidR="006F5B9A" w:rsidRPr="00F575FF" w:rsidRDefault="005D11B0" w:rsidP="006F5B9A">
      <w:pPr>
        <w:pStyle w:val="BodyText"/>
        <w:rPr>
          <w:sz w:val="22"/>
          <w:szCs w:val="22"/>
        </w:rPr>
      </w:pPr>
      <w:r w:rsidRPr="00F575FF">
        <w:rPr>
          <w:sz w:val="22"/>
          <w:szCs w:val="22"/>
        </w:rPr>
        <w:t>“C</w:t>
      </w:r>
      <w:r w:rsidRPr="00F575FF">
        <w:rPr>
          <w:i/>
          <w:iCs/>
          <w:sz w:val="22"/>
          <w:szCs w:val="22"/>
        </w:rPr>
        <w:t>overed Agreement</w:t>
      </w:r>
      <w:r w:rsidRPr="00F575FF">
        <w:rPr>
          <w:sz w:val="22"/>
          <w:szCs w:val="22"/>
        </w:rPr>
        <w:t>” means:</w:t>
      </w:r>
    </w:p>
    <w:p w:rsidR="006F5B9A" w:rsidRPr="00F575FF" w:rsidRDefault="005D11B0" w:rsidP="006F5B9A">
      <w:pPr>
        <w:pStyle w:val="Heading3"/>
        <w:rPr>
          <w:sz w:val="22"/>
          <w:szCs w:val="22"/>
        </w:rPr>
      </w:pPr>
      <w:r w:rsidRPr="00F575FF">
        <w:rPr>
          <w:sz w:val="22"/>
          <w:szCs w:val="22"/>
        </w:rPr>
        <w:t xml:space="preserve">any Covered Direct QFC that </w:t>
      </w:r>
      <w:r w:rsidR="004214F5">
        <w:rPr>
          <w:sz w:val="22"/>
          <w:szCs w:val="22"/>
        </w:rPr>
        <w:t xml:space="preserve">is an In-Scope QFC </w:t>
      </w:r>
      <w:r w:rsidR="00C14F63">
        <w:rPr>
          <w:sz w:val="22"/>
          <w:szCs w:val="22"/>
        </w:rPr>
        <w:t xml:space="preserve">that </w:t>
      </w:r>
      <w:r w:rsidRPr="00F575FF">
        <w:rPr>
          <w:sz w:val="22"/>
          <w:szCs w:val="22"/>
        </w:rPr>
        <w:t xml:space="preserve">has been entered into (or deemed entered into) </w:t>
      </w:r>
      <w:r w:rsidRPr="00F575FF">
        <w:rPr>
          <w:sz w:val="22"/>
          <w:szCs w:val="22"/>
        </w:rPr>
        <w:t>between a Covered Entity and a Counterparty Entity; or</w:t>
      </w:r>
    </w:p>
    <w:p w:rsidR="006F5B9A" w:rsidRPr="00F575FF" w:rsidRDefault="005D11B0" w:rsidP="006F5B9A">
      <w:pPr>
        <w:pStyle w:val="Heading3"/>
        <w:rPr>
          <w:sz w:val="22"/>
          <w:szCs w:val="22"/>
        </w:rPr>
      </w:pPr>
      <w:r w:rsidRPr="00F575FF">
        <w:rPr>
          <w:sz w:val="22"/>
          <w:szCs w:val="22"/>
        </w:rPr>
        <w:lastRenderedPageBreak/>
        <w:t>any Credit Enhancement that is an In-Scope QFC that has been entered into (or deemed entered into) between a Covered Entity and a Counterparty Entity, provided by a Covered Entity to a Counterparty Ent</w:t>
      </w:r>
      <w:r w:rsidRPr="00F575FF">
        <w:rPr>
          <w:sz w:val="22"/>
          <w:szCs w:val="22"/>
        </w:rPr>
        <w:t>ity or provided by a Counterparty Entity to a Covered Entity in respect of a QFC, including without limitation any Covered Affiliate Credit Enhancement;</w:t>
      </w:r>
    </w:p>
    <w:p w:rsidR="006F5B9A" w:rsidRPr="00F575FF" w:rsidRDefault="005D11B0" w:rsidP="006F5B9A">
      <w:pPr>
        <w:pStyle w:val="Heading3"/>
        <w:numPr>
          <w:ilvl w:val="0"/>
          <w:numId w:val="0"/>
        </w:numPr>
        <w:rPr>
          <w:sz w:val="22"/>
          <w:szCs w:val="22"/>
        </w:rPr>
      </w:pPr>
      <w:r w:rsidRPr="00F575FF">
        <w:rPr>
          <w:sz w:val="22"/>
          <w:szCs w:val="22"/>
        </w:rPr>
        <w:t>in each case, on or prior to the Execution Date (or, if later, the date such Counterparty Entity or Cov</w:t>
      </w:r>
      <w:r w:rsidRPr="00F575FF">
        <w:rPr>
          <w:sz w:val="22"/>
          <w:szCs w:val="22"/>
        </w:rPr>
        <w:t xml:space="preserve">ered Entity became a Party to this Agreement), but does not include any QFC that meets one of the exclusions or exemptions contained in 12 C.F.R. 252.88 (a), (c)-(d), 12 C.F.R. 382.7(a), (c)-(d) or 12 C.F.R. 47.8(a), (c)-(d). </w:t>
      </w:r>
    </w:p>
    <w:p w:rsidR="006F5B9A" w:rsidRPr="00F575FF" w:rsidRDefault="005D11B0" w:rsidP="004214F5">
      <w:pPr>
        <w:pStyle w:val="BodyText"/>
        <w:rPr>
          <w:sz w:val="22"/>
          <w:szCs w:val="22"/>
        </w:rPr>
      </w:pPr>
      <w:r w:rsidRPr="00F575FF">
        <w:rPr>
          <w:sz w:val="22"/>
          <w:szCs w:val="22"/>
        </w:rPr>
        <w:t>“</w:t>
      </w:r>
      <w:r w:rsidRPr="00F575FF">
        <w:rPr>
          <w:i/>
          <w:iCs/>
          <w:sz w:val="22"/>
          <w:szCs w:val="22"/>
        </w:rPr>
        <w:t>Covered Direct QFC</w:t>
      </w:r>
      <w:r w:rsidR="004214F5">
        <w:rPr>
          <w:sz w:val="22"/>
          <w:szCs w:val="22"/>
        </w:rPr>
        <w:t>” means a Direct QFC</w:t>
      </w:r>
      <w:r w:rsidRPr="00F575FF">
        <w:rPr>
          <w:sz w:val="22"/>
          <w:szCs w:val="22"/>
        </w:rPr>
        <w:t xml:space="preserve"> between a Counterparty Entity and a Covered Entity (including all transactions thereunder).</w:t>
      </w:r>
    </w:p>
    <w:p w:rsidR="006F5B9A" w:rsidRPr="00F575FF" w:rsidRDefault="005D11B0" w:rsidP="006F5B9A">
      <w:pPr>
        <w:pStyle w:val="BodyText"/>
        <w:rPr>
          <w:sz w:val="22"/>
          <w:szCs w:val="22"/>
        </w:rPr>
      </w:pPr>
      <w:r w:rsidRPr="00F575FF">
        <w:rPr>
          <w:sz w:val="22"/>
          <w:szCs w:val="22"/>
        </w:rPr>
        <w:t>“</w:t>
      </w:r>
      <w:r w:rsidRPr="00F575FF">
        <w:rPr>
          <w:i/>
          <w:iCs/>
          <w:sz w:val="22"/>
          <w:szCs w:val="22"/>
        </w:rPr>
        <w:t>Covered Entity Group</w:t>
      </w:r>
      <w:r w:rsidRPr="00F575FF">
        <w:rPr>
          <w:sz w:val="22"/>
          <w:szCs w:val="22"/>
        </w:rPr>
        <w:t>” has the meaning specified in the Recitals hereto.</w:t>
      </w:r>
    </w:p>
    <w:p w:rsidR="006F5B9A" w:rsidRPr="00F575FF" w:rsidRDefault="005D11B0" w:rsidP="006F5B9A">
      <w:pPr>
        <w:pStyle w:val="BodyText"/>
        <w:rPr>
          <w:sz w:val="22"/>
          <w:szCs w:val="22"/>
        </w:rPr>
      </w:pPr>
      <w:r w:rsidRPr="00F575FF">
        <w:rPr>
          <w:sz w:val="22"/>
          <w:szCs w:val="22"/>
        </w:rPr>
        <w:t>“</w:t>
      </w:r>
      <w:r w:rsidRPr="00F575FF">
        <w:rPr>
          <w:i/>
          <w:iCs/>
          <w:sz w:val="22"/>
          <w:szCs w:val="22"/>
        </w:rPr>
        <w:t>Covered Entity</w:t>
      </w:r>
      <w:r w:rsidRPr="00F575FF">
        <w:rPr>
          <w:sz w:val="22"/>
          <w:szCs w:val="22"/>
        </w:rPr>
        <w:t>” means a Party to this Agreement that is a member of the Covered</w:t>
      </w:r>
      <w:r w:rsidRPr="00F575FF">
        <w:rPr>
          <w:sz w:val="22"/>
          <w:szCs w:val="22"/>
        </w:rPr>
        <w:t xml:space="preserve"> Entity Group.</w:t>
      </w:r>
    </w:p>
    <w:p w:rsidR="006F5B9A" w:rsidRPr="00F575FF" w:rsidRDefault="005D11B0" w:rsidP="0073299E">
      <w:pPr>
        <w:pStyle w:val="BodyText"/>
        <w:rPr>
          <w:bCs/>
          <w:sz w:val="22"/>
          <w:szCs w:val="22"/>
        </w:rPr>
      </w:pPr>
      <w:r w:rsidRPr="00F575FF">
        <w:rPr>
          <w:sz w:val="22"/>
          <w:szCs w:val="22"/>
        </w:rPr>
        <w:t>“</w:t>
      </w:r>
      <w:r w:rsidRPr="00F575FF">
        <w:rPr>
          <w:i/>
          <w:iCs/>
          <w:sz w:val="22"/>
          <w:szCs w:val="22"/>
        </w:rPr>
        <w:t>Credit Enhancement</w:t>
      </w:r>
      <w:r w:rsidRPr="00F575FF">
        <w:rPr>
          <w:sz w:val="22"/>
          <w:szCs w:val="22"/>
        </w:rPr>
        <w:t xml:space="preserve">” </w:t>
      </w:r>
      <w:r w:rsidRPr="00F575FF">
        <w:rPr>
          <w:bCs/>
          <w:sz w:val="22"/>
          <w:szCs w:val="22"/>
        </w:rPr>
        <w:t>means any credit enhancement or credit support arrangement in support of the obligations of a Covered Entity or a Counterparty Entity under or with respect to a QFC</w:t>
      </w:r>
      <w:r w:rsidR="0073299E">
        <w:rPr>
          <w:bCs/>
          <w:sz w:val="22"/>
          <w:szCs w:val="22"/>
        </w:rPr>
        <w:t>, including any guarantee, collateral arrangement</w:t>
      </w:r>
      <w:r w:rsidRPr="00F575FF">
        <w:rPr>
          <w:bCs/>
          <w:sz w:val="22"/>
          <w:szCs w:val="22"/>
        </w:rPr>
        <w:t xml:space="preserve"> (inclu</w:t>
      </w:r>
      <w:r w:rsidRPr="00F575FF">
        <w:rPr>
          <w:bCs/>
          <w:sz w:val="22"/>
          <w:szCs w:val="22"/>
        </w:rPr>
        <w:t xml:space="preserve">ding any pledge, charge, mortgage or other security interest in collateral or title transfer </w:t>
      </w:r>
      <w:r w:rsidRPr="00F575FF">
        <w:rPr>
          <w:sz w:val="22"/>
          <w:szCs w:val="22"/>
        </w:rPr>
        <w:t>arrangement</w:t>
      </w:r>
      <w:r w:rsidRPr="00F575FF">
        <w:rPr>
          <w:bCs/>
          <w:sz w:val="22"/>
          <w:szCs w:val="22"/>
        </w:rPr>
        <w:t>), trust or similar arrangement, letter of credit, transfer of margin</w:t>
      </w:r>
      <w:r w:rsidR="004558CB">
        <w:rPr>
          <w:bCs/>
          <w:sz w:val="22"/>
          <w:szCs w:val="22"/>
        </w:rPr>
        <w:t>, reimbursement obligation</w:t>
      </w:r>
      <w:r w:rsidRPr="00F575FF">
        <w:rPr>
          <w:bCs/>
          <w:sz w:val="22"/>
          <w:szCs w:val="22"/>
        </w:rPr>
        <w:t xml:space="preserve"> or any similar arrangement.</w:t>
      </w:r>
    </w:p>
    <w:p w:rsidR="006F5B9A" w:rsidRPr="00F575FF" w:rsidRDefault="005D11B0" w:rsidP="006F5B9A">
      <w:pPr>
        <w:pStyle w:val="BodyText"/>
        <w:rPr>
          <w:sz w:val="22"/>
          <w:szCs w:val="22"/>
        </w:rPr>
      </w:pPr>
      <w:r w:rsidRPr="00F575FF">
        <w:rPr>
          <w:sz w:val="22"/>
          <w:szCs w:val="22"/>
        </w:rPr>
        <w:t>“</w:t>
      </w:r>
      <w:r w:rsidRPr="00F575FF">
        <w:rPr>
          <w:i/>
          <w:iCs/>
          <w:sz w:val="22"/>
          <w:szCs w:val="22"/>
        </w:rPr>
        <w:t>Direct Party</w:t>
      </w:r>
      <w:r w:rsidRPr="00F575FF">
        <w:rPr>
          <w:sz w:val="22"/>
          <w:szCs w:val="22"/>
        </w:rPr>
        <w:t>” means a Cover</w:t>
      </w:r>
      <w:r w:rsidRPr="00F575FF">
        <w:rPr>
          <w:sz w:val="22"/>
          <w:szCs w:val="22"/>
        </w:rPr>
        <w:t>ed Entity that is a party to a Covered Direct QFC.</w:t>
      </w:r>
    </w:p>
    <w:p w:rsidR="006F5B9A" w:rsidRPr="00F575FF" w:rsidRDefault="005D11B0" w:rsidP="008F749D">
      <w:pPr>
        <w:pStyle w:val="BodyText"/>
        <w:rPr>
          <w:sz w:val="22"/>
          <w:szCs w:val="22"/>
        </w:rPr>
      </w:pPr>
      <w:r w:rsidRPr="00F575FF">
        <w:rPr>
          <w:sz w:val="22"/>
          <w:szCs w:val="22"/>
        </w:rPr>
        <w:t>“</w:t>
      </w:r>
      <w:r w:rsidRPr="00F575FF">
        <w:rPr>
          <w:i/>
          <w:iCs/>
          <w:sz w:val="22"/>
          <w:szCs w:val="22"/>
        </w:rPr>
        <w:t>Direct QFC</w:t>
      </w:r>
      <w:r w:rsidRPr="00F575FF">
        <w:rPr>
          <w:sz w:val="22"/>
          <w:szCs w:val="22"/>
        </w:rPr>
        <w:t>” means a QFC that is not a Credit Enhancement.</w:t>
      </w:r>
      <w:r w:rsidR="008F749D">
        <w:rPr>
          <w:sz w:val="22"/>
          <w:szCs w:val="22"/>
        </w:rPr>
        <w:t xml:space="preserve"> F</w:t>
      </w:r>
      <w:r w:rsidR="008F749D" w:rsidRPr="008F749D">
        <w:rPr>
          <w:sz w:val="22"/>
          <w:szCs w:val="22"/>
        </w:rPr>
        <w:t>or a</w:t>
      </w:r>
      <w:r w:rsidR="008F749D">
        <w:rPr>
          <w:sz w:val="22"/>
          <w:szCs w:val="22"/>
        </w:rPr>
        <w:t xml:space="preserve"> </w:t>
      </w:r>
      <w:r w:rsidR="008F749D" w:rsidRPr="008F749D">
        <w:rPr>
          <w:sz w:val="22"/>
          <w:szCs w:val="22"/>
        </w:rPr>
        <w:t>QFC that is a master agreement that includes a Covered Affiliate Credit Enhancement as a supplement to</w:t>
      </w:r>
      <w:r w:rsidR="008F749D">
        <w:rPr>
          <w:sz w:val="22"/>
          <w:szCs w:val="22"/>
        </w:rPr>
        <w:t xml:space="preserve"> </w:t>
      </w:r>
      <w:r w:rsidR="008F749D" w:rsidRPr="008F749D">
        <w:rPr>
          <w:sz w:val="22"/>
          <w:szCs w:val="22"/>
        </w:rPr>
        <w:t>the master agreement, the Direct QFC does not include such Covered Affiliate Credit Enhancement.</w:t>
      </w:r>
    </w:p>
    <w:p w:rsidR="006F5B9A" w:rsidRPr="00F575FF" w:rsidRDefault="005D11B0" w:rsidP="006F5B9A">
      <w:pPr>
        <w:pStyle w:val="BodyText"/>
        <w:rPr>
          <w:sz w:val="22"/>
          <w:szCs w:val="22"/>
        </w:rPr>
      </w:pPr>
      <w:r w:rsidRPr="00F575FF">
        <w:rPr>
          <w:sz w:val="22"/>
          <w:szCs w:val="22"/>
        </w:rPr>
        <w:t>“</w:t>
      </w:r>
      <w:r w:rsidRPr="00F575FF">
        <w:rPr>
          <w:i/>
          <w:iCs/>
          <w:sz w:val="22"/>
          <w:szCs w:val="22"/>
        </w:rPr>
        <w:t>Default Right</w:t>
      </w:r>
      <w:r w:rsidRPr="00F575FF">
        <w:rPr>
          <w:sz w:val="22"/>
          <w:szCs w:val="22"/>
        </w:rPr>
        <w:t xml:space="preserve">” means, with respect to a Covered Agreement, any: </w:t>
      </w:r>
    </w:p>
    <w:p w:rsidR="006F5B9A" w:rsidRPr="0060769D" w:rsidRDefault="005D11B0" w:rsidP="0060769D">
      <w:pPr>
        <w:pStyle w:val="Heading3"/>
        <w:numPr>
          <w:ilvl w:val="2"/>
          <w:numId w:val="13"/>
        </w:numPr>
        <w:rPr>
          <w:sz w:val="22"/>
          <w:szCs w:val="22"/>
        </w:rPr>
      </w:pPr>
      <w:r w:rsidRPr="0060769D">
        <w:rPr>
          <w:sz w:val="22"/>
          <w:szCs w:val="22"/>
        </w:rPr>
        <w:t>right of a party, whether contractual or otherwise (including, without limitation, rights incorporated by reference to any other c</w:t>
      </w:r>
      <w:r w:rsidRPr="0060769D">
        <w:rPr>
          <w:sz w:val="22"/>
          <w:szCs w:val="22"/>
        </w:rPr>
        <w:t>ontract, agreement, or document, and rights afforded by statute, civil code, regulation, and common law), to liquidate, terminate, cancel, rescind, or accelerate such agreement or transactions thereunder, set off or net amounts owing in respect thereto (ex</w:t>
      </w:r>
      <w:r w:rsidRPr="0060769D">
        <w:rPr>
          <w:sz w:val="22"/>
          <w:szCs w:val="22"/>
        </w:rPr>
        <w:t>cept rights related to same-day payment netting), exercise remedies in respect of collateral or other credit support or property related thereto (including the purchase and sale of property), demand payment or delivery thereunder or in respect thereof (oth</w:t>
      </w:r>
      <w:r w:rsidRPr="0060769D">
        <w:rPr>
          <w:sz w:val="22"/>
          <w:szCs w:val="22"/>
        </w:rPr>
        <w:t>er than a right or operation of a contractual provision arising solely from a change in the value of collateral or margin or a change in the amount of an economic exposure), suspend, delay, or defer payment or performance thereunder, or modify the obligati</w:t>
      </w:r>
      <w:r w:rsidRPr="0060769D">
        <w:rPr>
          <w:sz w:val="22"/>
          <w:szCs w:val="22"/>
        </w:rPr>
        <w:t xml:space="preserve">ons of a party thereunder, or any similar rights; and </w:t>
      </w:r>
    </w:p>
    <w:p w:rsidR="006F5B9A" w:rsidRPr="00F575FF" w:rsidRDefault="005D11B0" w:rsidP="006F5B9A">
      <w:pPr>
        <w:pStyle w:val="Heading3"/>
        <w:numPr>
          <w:ilvl w:val="2"/>
          <w:numId w:val="8"/>
        </w:numPr>
        <w:rPr>
          <w:sz w:val="22"/>
          <w:szCs w:val="22"/>
        </w:rPr>
      </w:pPr>
      <w:r w:rsidRPr="00F575FF">
        <w:rPr>
          <w:sz w:val="22"/>
          <w:szCs w:val="22"/>
        </w:rPr>
        <w:t>right or contractual provision that alters the amount of collateral or margin that must be provided with respect to an exposure thereunder, including by altering any initial amount, threshold amount, v</w:t>
      </w:r>
      <w:r w:rsidRPr="00F575FF">
        <w:rPr>
          <w:sz w:val="22"/>
          <w:szCs w:val="22"/>
        </w:rPr>
        <w:t>ariation margin, minimum transfer amount, the margin value of collateral, or any similar amount, that entitles a party to demand the return of any collateral or margin transferred by it to the other party or a custodian or that modifies a transferee’s righ</w:t>
      </w:r>
      <w:r w:rsidRPr="00F575FF">
        <w:rPr>
          <w:sz w:val="22"/>
          <w:szCs w:val="22"/>
        </w:rPr>
        <w:t xml:space="preserve">t to reuse collateral or margin (if such right previously existed), or any similar rights, in each case, other than a right or operation of a contractual </w:t>
      </w:r>
      <w:r w:rsidRPr="00F575FF">
        <w:rPr>
          <w:sz w:val="22"/>
          <w:szCs w:val="22"/>
        </w:rPr>
        <w:lastRenderedPageBreak/>
        <w:t xml:space="preserve">provision arising solely from a change in the value of collateral or margin or a change in the amount </w:t>
      </w:r>
      <w:r w:rsidRPr="00F575FF">
        <w:rPr>
          <w:sz w:val="22"/>
          <w:szCs w:val="22"/>
        </w:rPr>
        <w:t xml:space="preserve">of an economic exposure; </w:t>
      </w:r>
    </w:p>
    <w:p w:rsidR="006F5B9A" w:rsidRPr="00F575FF" w:rsidRDefault="005D11B0" w:rsidP="006F5B9A">
      <w:pPr>
        <w:pStyle w:val="Heading3"/>
        <w:numPr>
          <w:ilvl w:val="0"/>
          <w:numId w:val="0"/>
        </w:numPr>
        <w:rPr>
          <w:sz w:val="22"/>
          <w:szCs w:val="22"/>
        </w:rPr>
      </w:pPr>
      <w:r w:rsidRPr="00F575FF">
        <w:rPr>
          <w:i/>
          <w:iCs/>
          <w:sz w:val="22"/>
          <w:szCs w:val="22"/>
        </w:rPr>
        <w:t>provided</w:t>
      </w:r>
      <w:r w:rsidRPr="00F575FF">
        <w:rPr>
          <w:sz w:val="22"/>
          <w:szCs w:val="22"/>
        </w:rPr>
        <w:t xml:space="preserve"> tha</w:t>
      </w:r>
      <w:r w:rsidR="00645CFD">
        <w:rPr>
          <w:sz w:val="22"/>
          <w:szCs w:val="22"/>
        </w:rPr>
        <w:t>t, as used in Sections 2.1, 2.2</w:t>
      </w:r>
      <w:r w:rsidR="00F31401">
        <w:rPr>
          <w:sz w:val="22"/>
          <w:szCs w:val="22"/>
        </w:rPr>
        <w:t>,</w:t>
      </w:r>
      <w:r w:rsidR="00645CFD">
        <w:rPr>
          <w:sz w:val="22"/>
          <w:szCs w:val="22"/>
        </w:rPr>
        <w:t xml:space="preserve"> 2.3 or 2.4</w:t>
      </w:r>
      <w:r w:rsidRPr="00F575FF">
        <w:rPr>
          <w:sz w:val="22"/>
          <w:szCs w:val="22"/>
        </w:rPr>
        <w:t xml:space="preserve"> hereof, the term “Default Right” does not include any right under a contract that allows a party to terminate the contract on demand or at its option at a specified time, or from time to time, without the need to show cause.</w:t>
      </w:r>
    </w:p>
    <w:p w:rsidR="006F5B9A" w:rsidRPr="00F575FF" w:rsidRDefault="005D11B0" w:rsidP="006F5B9A">
      <w:pPr>
        <w:pStyle w:val="Heading3"/>
        <w:numPr>
          <w:ilvl w:val="0"/>
          <w:numId w:val="0"/>
        </w:numPr>
        <w:rPr>
          <w:sz w:val="22"/>
          <w:szCs w:val="22"/>
        </w:rPr>
      </w:pPr>
      <w:r w:rsidRPr="00F575FF">
        <w:rPr>
          <w:sz w:val="22"/>
          <w:szCs w:val="22"/>
        </w:rPr>
        <w:t>References to the “exercise” o</w:t>
      </w:r>
      <w:r w:rsidRPr="00F575FF">
        <w:rPr>
          <w:sz w:val="22"/>
          <w:szCs w:val="22"/>
        </w:rPr>
        <w:t>f a Default Right or the entitlement “to exercise” a Default Right shall include the automatic or deemed exercise of a Default Right.</w:t>
      </w:r>
    </w:p>
    <w:p w:rsidR="006F5B9A" w:rsidRPr="00F575FF" w:rsidRDefault="005D11B0" w:rsidP="000873EF">
      <w:pPr>
        <w:pStyle w:val="BodyText"/>
        <w:rPr>
          <w:sz w:val="22"/>
          <w:szCs w:val="22"/>
        </w:rPr>
      </w:pPr>
      <w:r w:rsidRPr="00F575FF">
        <w:rPr>
          <w:sz w:val="22"/>
          <w:szCs w:val="22"/>
        </w:rPr>
        <w:t>“</w:t>
      </w:r>
      <w:r w:rsidRPr="00F575FF">
        <w:rPr>
          <w:i/>
          <w:iCs/>
          <w:sz w:val="22"/>
          <w:szCs w:val="22"/>
        </w:rPr>
        <w:t>Effective Date</w:t>
      </w:r>
      <w:r w:rsidRPr="00F575FF">
        <w:rPr>
          <w:sz w:val="22"/>
          <w:szCs w:val="22"/>
        </w:rPr>
        <w:t>” means, with</w:t>
      </w:r>
      <w:r w:rsidR="002B7F32">
        <w:rPr>
          <w:sz w:val="22"/>
          <w:szCs w:val="22"/>
        </w:rPr>
        <w:t xml:space="preserve"> respect to a Covered Agreement</w:t>
      </w:r>
      <w:r w:rsidRPr="00F575FF">
        <w:rPr>
          <w:sz w:val="22"/>
          <w:szCs w:val="22"/>
        </w:rPr>
        <w:t xml:space="preserve"> </w:t>
      </w:r>
      <w:r w:rsidR="0060769D" w:rsidRPr="0068031C">
        <w:rPr>
          <w:sz w:val="22"/>
          <w:szCs w:val="22"/>
        </w:rPr>
        <w:t>entered into</w:t>
      </w:r>
      <w:r w:rsidR="0060769D">
        <w:rPr>
          <w:sz w:val="22"/>
          <w:szCs w:val="22"/>
        </w:rPr>
        <w:t>,</w:t>
      </w:r>
      <w:r w:rsidR="0060769D" w:rsidRPr="0068031C">
        <w:rPr>
          <w:sz w:val="22"/>
          <w:szCs w:val="22"/>
        </w:rPr>
        <w:t xml:space="preserve"> or provided by or to</w:t>
      </w:r>
      <w:r w:rsidR="0060769D">
        <w:rPr>
          <w:sz w:val="22"/>
          <w:szCs w:val="22"/>
        </w:rPr>
        <w:t>, a Counterparty Entity,</w:t>
      </w:r>
      <w:r w:rsidR="0060769D" w:rsidRPr="00F575FF">
        <w:rPr>
          <w:sz w:val="22"/>
          <w:szCs w:val="22"/>
        </w:rPr>
        <w:t xml:space="preserve"> </w:t>
      </w:r>
      <w:r w:rsidRPr="00F575FF">
        <w:rPr>
          <w:sz w:val="22"/>
          <w:szCs w:val="22"/>
        </w:rPr>
        <w:t>the</w:t>
      </w:r>
      <w:r w:rsidRPr="00F575FF">
        <w:rPr>
          <w:sz w:val="22"/>
          <w:szCs w:val="22"/>
        </w:rPr>
        <w:t xml:space="preserve"> late</w:t>
      </w:r>
      <w:r w:rsidR="000873EF">
        <w:rPr>
          <w:sz w:val="22"/>
          <w:szCs w:val="22"/>
        </w:rPr>
        <w:t>st</w:t>
      </w:r>
      <w:r w:rsidRPr="00F575FF">
        <w:rPr>
          <w:sz w:val="22"/>
          <w:szCs w:val="22"/>
        </w:rPr>
        <w:t xml:space="preserve"> of the Applicable Compliance Date and the date such Counterparty Entity or the relevant Covered Entity becomes a Party to this Agreement.</w:t>
      </w:r>
    </w:p>
    <w:p w:rsidR="006F5B9A" w:rsidRPr="00F575FF" w:rsidRDefault="005D11B0" w:rsidP="006F5B9A">
      <w:pPr>
        <w:pStyle w:val="BodyText"/>
        <w:rPr>
          <w:sz w:val="22"/>
          <w:szCs w:val="22"/>
        </w:rPr>
      </w:pPr>
      <w:r w:rsidRPr="00F575FF">
        <w:rPr>
          <w:sz w:val="22"/>
          <w:szCs w:val="22"/>
        </w:rPr>
        <w:t>“</w:t>
      </w:r>
      <w:r w:rsidRPr="00F575FF">
        <w:rPr>
          <w:i/>
          <w:iCs/>
          <w:sz w:val="22"/>
          <w:szCs w:val="22"/>
        </w:rPr>
        <w:t>Execution Date</w:t>
      </w:r>
      <w:r w:rsidRPr="00F575FF">
        <w:rPr>
          <w:sz w:val="22"/>
          <w:szCs w:val="22"/>
        </w:rPr>
        <w:t>” has the meaning set forth in the Recitals hereto.</w:t>
      </w:r>
    </w:p>
    <w:p w:rsidR="006F5B9A" w:rsidRPr="00F575FF" w:rsidRDefault="005D11B0" w:rsidP="006F5B9A">
      <w:pPr>
        <w:pStyle w:val="BodyText"/>
        <w:rPr>
          <w:sz w:val="22"/>
          <w:szCs w:val="22"/>
        </w:rPr>
      </w:pPr>
      <w:r w:rsidRPr="00F575FF">
        <w:rPr>
          <w:sz w:val="22"/>
          <w:szCs w:val="22"/>
        </w:rPr>
        <w:t>“</w:t>
      </w:r>
      <w:r w:rsidRPr="00F575FF">
        <w:rPr>
          <w:i/>
          <w:iCs/>
          <w:sz w:val="22"/>
          <w:szCs w:val="22"/>
        </w:rPr>
        <w:t>FDI Act</w:t>
      </w:r>
      <w:r w:rsidRPr="00F575FF">
        <w:rPr>
          <w:sz w:val="22"/>
          <w:szCs w:val="22"/>
        </w:rPr>
        <w:t>” means the Federal Deposit Insuran</w:t>
      </w:r>
      <w:r w:rsidRPr="00F575FF">
        <w:rPr>
          <w:sz w:val="22"/>
          <w:szCs w:val="22"/>
        </w:rPr>
        <w:t>ce Act and the regulations promulgated thereunder.</w:t>
      </w:r>
    </w:p>
    <w:p w:rsidR="006F5B9A" w:rsidRPr="00F575FF" w:rsidRDefault="005D11B0" w:rsidP="00490A8B">
      <w:pPr>
        <w:pStyle w:val="BodyText"/>
        <w:rPr>
          <w:sz w:val="22"/>
          <w:szCs w:val="22"/>
        </w:rPr>
      </w:pPr>
      <w:r w:rsidRPr="00F575FF">
        <w:rPr>
          <w:sz w:val="22"/>
          <w:szCs w:val="22"/>
        </w:rPr>
        <w:t>“</w:t>
      </w:r>
      <w:r w:rsidRPr="00F575FF">
        <w:rPr>
          <w:i/>
          <w:iCs/>
          <w:sz w:val="22"/>
          <w:szCs w:val="22"/>
        </w:rPr>
        <w:t>FDI Act Stay Period</w:t>
      </w:r>
      <w:r w:rsidRPr="00F575FF">
        <w:rPr>
          <w:sz w:val="22"/>
          <w:szCs w:val="22"/>
        </w:rPr>
        <w:t>” has the same meaning specified in, and shall be interpreted in accordance with, 12 C.F.R. 252.81, 12 C</w:t>
      </w:r>
      <w:r w:rsidR="00490A8B">
        <w:rPr>
          <w:sz w:val="22"/>
          <w:szCs w:val="22"/>
        </w:rPr>
        <w:t>.F.R. 382.1 and 12 C.F.R. 47.2.</w:t>
      </w:r>
    </w:p>
    <w:p w:rsidR="006F5B9A" w:rsidRPr="00F575FF" w:rsidRDefault="005D11B0" w:rsidP="006F5B9A">
      <w:pPr>
        <w:pStyle w:val="BodyText"/>
        <w:rPr>
          <w:sz w:val="22"/>
          <w:szCs w:val="22"/>
        </w:rPr>
      </w:pPr>
      <w:r w:rsidRPr="00F575FF">
        <w:rPr>
          <w:sz w:val="22"/>
          <w:szCs w:val="22"/>
        </w:rPr>
        <w:t>“</w:t>
      </w:r>
      <w:r w:rsidRPr="00F575FF">
        <w:rPr>
          <w:i/>
          <w:iCs/>
          <w:sz w:val="22"/>
          <w:szCs w:val="22"/>
        </w:rPr>
        <w:t>FDIC</w:t>
      </w:r>
      <w:r w:rsidRPr="00F575FF">
        <w:rPr>
          <w:sz w:val="22"/>
          <w:szCs w:val="22"/>
        </w:rPr>
        <w:t>” refers to the Federal Deposit Insurance Co</w:t>
      </w:r>
      <w:r w:rsidRPr="00F575FF">
        <w:rPr>
          <w:sz w:val="22"/>
          <w:szCs w:val="22"/>
        </w:rPr>
        <w:t>rporation.</w:t>
      </w:r>
    </w:p>
    <w:p w:rsidR="006F5B9A" w:rsidRPr="00F575FF" w:rsidRDefault="005D11B0" w:rsidP="006F5B9A">
      <w:pPr>
        <w:pStyle w:val="BodyText"/>
        <w:rPr>
          <w:sz w:val="22"/>
          <w:szCs w:val="22"/>
        </w:rPr>
      </w:pPr>
      <w:r w:rsidRPr="00F575FF">
        <w:rPr>
          <w:sz w:val="22"/>
          <w:szCs w:val="22"/>
        </w:rPr>
        <w:t>“</w:t>
      </w:r>
      <w:r w:rsidRPr="00F575FF">
        <w:rPr>
          <w:i/>
          <w:iCs/>
          <w:sz w:val="22"/>
          <w:szCs w:val="22"/>
        </w:rPr>
        <w:t>Financial Counterparty</w:t>
      </w:r>
      <w:r w:rsidRPr="00F575FF">
        <w:rPr>
          <w:sz w:val="22"/>
          <w:szCs w:val="22"/>
        </w:rPr>
        <w:t>” has the meaning given to such term in, and shall be interpreted in accordance with, 12 C.F.R. 252.81, 12 C.F.R. 382.1 and 12 C.F.R. 47.2.</w:t>
      </w:r>
    </w:p>
    <w:p w:rsidR="006F5B9A" w:rsidRPr="00F575FF" w:rsidRDefault="005D11B0" w:rsidP="006F5B9A">
      <w:pPr>
        <w:pStyle w:val="BodyText"/>
        <w:rPr>
          <w:sz w:val="22"/>
          <w:szCs w:val="22"/>
        </w:rPr>
      </w:pPr>
      <w:r w:rsidRPr="00F575FF">
        <w:rPr>
          <w:sz w:val="22"/>
          <w:szCs w:val="22"/>
        </w:rPr>
        <w:t>“</w:t>
      </w:r>
      <w:r w:rsidRPr="00F575FF">
        <w:rPr>
          <w:i/>
          <w:iCs/>
          <w:sz w:val="22"/>
          <w:szCs w:val="22"/>
        </w:rPr>
        <w:t>In-Scope QFC</w:t>
      </w:r>
      <w:r w:rsidRPr="00F575FF">
        <w:rPr>
          <w:sz w:val="22"/>
          <w:szCs w:val="22"/>
        </w:rPr>
        <w:t xml:space="preserve">” has the meaning given to such term in, and shall be interpreted in </w:t>
      </w:r>
      <w:r w:rsidRPr="00F575FF">
        <w:rPr>
          <w:sz w:val="22"/>
          <w:szCs w:val="22"/>
        </w:rPr>
        <w:t>accordance with, 12 C.F.R. 252.82(d), 12 C.F.R. 382.2(d) and 12 C.F.R. 47.3(d).</w:t>
      </w:r>
    </w:p>
    <w:p w:rsidR="006F5B9A" w:rsidRPr="00F575FF" w:rsidRDefault="005D11B0" w:rsidP="006F5B9A">
      <w:pPr>
        <w:pStyle w:val="BodyText"/>
        <w:rPr>
          <w:sz w:val="22"/>
          <w:szCs w:val="22"/>
        </w:rPr>
      </w:pPr>
      <w:r w:rsidRPr="00F575FF">
        <w:rPr>
          <w:sz w:val="22"/>
          <w:szCs w:val="22"/>
        </w:rPr>
        <w:t>“</w:t>
      </w:r>
      <w:r w:rsidRPr="00F575FF">
        <w:rPr>
          <w:i/>
          <w:iCs/>
          <w:sz w:val="22"/>
          <w:szCs w:val="22"/>
        </w:rPr>
        <w:t>Insolvency Proceeding</w:t>
      </w:r>
      <w:r w:rsidRPr="00F575FF">
        <w:rPr>
          <w:sz w:val="22"/>
          <w:szCs w:val="22"/>
        </w:rPr>
        <w:t>” means a receivership, insolvency, liquidation, resolution, or similar proceeding.</w:t>
      </w:r>
    </w:p>
    <w:p w:rsidR="006F5B9A" w:rsidRPr="00F575FF" w:rsidRDefault="005D11B0" w:rsidP="006F5B9A">
      <w:pPr>
        <w:pStyle w:val="BodyText"/>
        <w:rPr>
          <w:sz w:val="22"/>
          <w:szCs w:val="22"/>
        </w:rPr>
      </w:pPr>
      <w:r w:rsidRPr="00F575FF">
        <w:rPr>
          <w:sz w:val="22"/>
          <w:szCs w:val="22"/>
        </w:rPr>
        <w:t>“</w:t>
      </w:r>
      <w:r w:rsidRPr="00F575FF">
        <w:rPr>
          <w:i/>
          <w:iCs/>
          <w:sz w:val="22"/>
          <w:szCs w:val="22"/>
        </w:rPr>
        <w:t>ISDA</w:t>
      </w:r>
      <w:r w:rsidRPr="00F575FF">
        <w:rPr>
          <w:sz w:val="22"/>
          <w:szCs w:val="22"/>
        </w:rPr>
        <w:t>” refers to International Swaps and Derivatives Association, Inc.</w:t>
      </w:r>
    </w:p>
    <w:p w:rsidR="006F5B9A" w:rsidRPr="00F575FF" w:rsidRDefault="005D11B0" w:rsidP="006F5B9A">
      <w:pPr>
        <w:pStyle w:val="BodyText"/>
        <w:rPr>
          <w:sz w:val="22"/>
          <w:szCs w:val="22"/>
        </w:rPr>
      </w:pPr>
      <w:r w:rsidRPr="00F575FF">
        <w:rPr>
          <w:sz w:val="22"/>
          <w:szCs w:val="22"/>
        </w:rPr>
        <w:t xml:space="preserve"> “</w:t>
      </w:r>
      <w:r w:rsidRPr="00F575FF">
        <w:rPr>
          <w:i/>
          <w:iCs/>
          <w:sz w:val="22"/>
          <w:szCs w:val="22"/>
        </w:rPr>
        <w:t>ISDA Protocol</w:t>
      </w:r>
      <w:r w:rsidRPr="00F575FF">
        <w:rPr>
          <w:sz w:val="22"/>
          <w:szCs w:val="22"/>
        </w:rPr>
        <w:t>” means the ISDA 2018 U.S. Resolution Stay Protoc</w:t>
      </w:r>
      <w:r w:rsidR="00652F54">
        <w:rPr>
          <w:sz w:val="22"/>
          <w:szCs w:val="22"/>
        </w:rPr>
        <w:t>ol, as published by ISDA as of July 31, 2018</w:t>
      </w:r>
      <w:r w:rsidRPr="00F575FF">
        <w:rPr>
          <w:sz w:val="22"/>
          <w:szCs w:val="22"/>
        </w:rPr>
        <w:t>.</w:t>
      </w:r>
    </w:p>
    <w:p w:rsidR="006F5B9A" w:rsidRPr="00F575FF" w:rsidRDefault="005D11B0" w:rsidP="006F5B9A">
      <w:pPr>
        <w:pStyle w:val="BodyText"/>
        <w:rPr>
          <w:sz w:val="22"/>
          <w:szCs w:val="22"/>
        </w:rPr>
      </w:pPr>
      <w:r w:rsidRPr="00F575FF">
        <w:rPr>
          <w:sz w:val="22"/>
          <w:szCs w:val="22"/>
        </w:rPr>
        <w:t>“</w:t>
      </w:r>
      <w:r w:rsidRPr="00F575FF">
        <w:rPr>
          <w:i/>
          <w:iCs/>
          <w:sz w:val="22"/>
          <w:szCs w:val="22"/>
        </w:rPr>
        <w:t>Joinder Agreement</w:t>
      </w:r>
      <w:r w:rsidRPr="00F575FF">
        <w:rPr>
          <w:sz w:val="22"/>
          <w:szCs w:val="22"/>
        </w:rPr>
        <w:t xml:space="preserve">” means a joinder agreement substantially in the form of </w:t>
      </w:r>
      <w:r w:rsidRPr="00F575FF">
        <w:rPr>
          <w:sz w:val="22"/>
          <w:szCs w:val="22"/>
          <w:u w:val="single"/>
        </w:rPr>
        <w:t>Exhibit A</w:t>
      </w:r>
      <w:r w:rsidRPr="00F575FF">
        <w:rPr>
          <w:sz w:val="22"/>
          <w:szCs w:val="22"/>
        </w:rPr>
        <w:t xml:space="preserve"> hereto.</w:t>
      </w:r>
    </w:p>
    <w:p w:rsidR="009557D7" w:rsidRDefault="005D11B0" w:rsidP="009557D7">
      <w:pPr>
        <w:pStyle w:val="BodyText"/>
        <w:rPr>
          <w:sz w:val="22"/>
          <w:szCs w:val="22"/>
        </w:rPr>
      </w:pPr>
      <w:r w:rsidRPr="00F575FF">
        <w:rPr>
          <w:sz w:val="22"/>
          <w:szCs w:val="22"/>
        </w:rPr>
        <w:t>“</w:t>
      </w:r>
      <w:r w:rsidRPr="00F575FF">
        <w:rPr>
          <w:i/>
          <w:iCs/>
          <w:sz w:val="22"/>
          <w:szCs w:val="22"/>
        </w:rPr>
        <w:t>OLA</w:t>
      </w:r>
      <w:r w:rsidRPr="00F575FF">
        <w:rPr>
          <w:sz w:val="22"/>
          <w:szCs w:val="22"/>
        </w:rPr>
        <w:t xml:space="preserve">” means Title II of the Dodd-Frank Wall Street </w:t>
      </w:r>
      <w:r w:rsidRPr="00F575FF">
        <w:rPr>
          <w:sz w:val="22"/>
          <w:szCs w:val="22"/>
        </w:rPr>
        <w:t>Reform and Consumer Protection Act and the regulations promulgated thereunder.</w:t>
      </w:r>
    </w:p>
    <w:p w:rsidR="009557D7" w:rsidRDefault="005D11B0" w:rsidP="00645CFD">
      <w:pPr>
        <w:pStyle w:val="BodyText"/>
        <w:rPr>
          <w:sz w:val="22"/>
          <w:szCs w:val="22"/>
        </w:rPr>
      </w:pPr>
      <w:r w:rsidRPr="00F575FF">
        <w:rPr>
          <w:sz w:val="22"/>
          <w:szCs w:val="22"/>
        </w:rPr>
        <w:t>“</w:t>
      </w:r>
      <w:r w:rsidRPr="00F575FF">
        <w:rPr>
          <w:i/>
          <w:iCs/>
          <w:sz w:val="22"/>
          <w:szCs w:val="22"/>
        </w:rPr>
        <w:t>Party</w:t>
      </w:r>
      <w:r w:rsidRPr="00F575FF">
        <w:rPr>
          <w:sz w:val="22"/>
          <w:szCs w:val="22"/>
        </w:rPr>
        <w:t xml:space="preserve">” refers to a Person that is listed on the signature pages hereof as a party to this Agreement, </w:t>
      </w:r>
      <w:r w:rsidR="00482235">
        <w:rPr>
          <w:sz w:val="22"/>
          <w:szCs w:val="22"/>
        </w:rPr>
        <w:t>[</w:t>
      </w:r>
      <w:r w:rsidRPr="00F575FF">
        <w:rPr>
          <w:sz w:val="22"/>
          <w:szCs w:val="22"/>
        </w:rPr>
        <w:t>any member of the Covered Entity Group that is listed on Schedule 1 hereto</w:t>
      </w:r>
      <w:r w:rsidR="00645CFD">
        <w:rPr>
          <w:sz w:val="22"/>
          <w:szCs w:val="22"/>
        </w:rPr>
        <w:t>, as amended from time to time,</w:t>
      </w:r>
      <w:r w:rsidR="00482235">
        <w:rPr>
          <w:sz w:val="22"/>
          <w:szCs w:val="22"/>
        </w:rPr>
        <w:t>]</w:t>
      </w:r>
      <w:r w:rsidRPr="00F575FF">
        <w:rPr>
          <w:sz w:val="22"/>
          <w:szCs w:val="22"/>
        </w:rPr>
        <w:t xml:space="preserve"> or, in the case of any Person that becomes a party hereto after the Execution Date, listed as a signatory to a Joinder Agreement provided pursuant to Section 4.5.</w:t>
      </w:r>
    </w:p>
    <w:p w:rsidR="006F5B9A" w:rsidRPr="00F575FF" w:rsidRDefault="005D11B0" w:rsidP="009557D7">
      <w:pPr>
        <w:pStyle w:val="BodyText"/>
        <w:rPr>
          <w:sz w:val="22"/>
          <w:szCs w:val="22"/>
        </w:rPr>
      </w:pPr>
      <w:r w:rsidRPr="00F575FF">
        <w:rPr>
          <w:sz w:val="22"/>
          <w:szCs w:val="22"/>
        </w:rPr>
        <w:t>“</w:t>
      </w:r>
      <w:r w:rsidRPr="00F575FF">
        <w:rPr>
          <w:i/>
          <w:iCs/>
          <w:sz w:val="22"/>
          <w:szCs w:val="22"/>
        </w:rPr>
        <w:t>Person</w:t>
      </w:r>
      <w:r w:rsidRPr="00F575FF">
        <w:rPr>
          <w:sz w:val="22"/>
          <w:szCs w:val="22"/>
        </w:rPr>
        <w:t>” includes an individual, bank, corporation, partners</w:t>
      </w:r>
      <w:r w:rsidRPr="00F575FF">
        <w:rPr>
          <w:sz w:val="22"/>
          <w:szCs w:val="22"/>
        </w:rPr>
        <w:t>hip, trust, association, joint venture, pool, syndicate, sole proprietorship, unincorporated organization, or any other form of entity.</w:t>
      </w:r>
    </w:p>
    <w:p w:rsidR="006F5B9A" w:rsidRPr="00F575FF" w:rsidRDefault="005D11B0" w:rsidP="00C86B1F">
      <w:pPr>
        <w:pStyle w:val="BodyText"/>
        <w:rPr>
          <w:sz w:val="22"/>
          <w:szCs w:val="22"/>
        </w:rPr>
      </w:pPr>
      <w:r w:rsidRPr="00F575FF">
        <w:rPr>
          <w:sz w:val="22"/>
          <w:szCs w:val="22"/>
        </w:rPr>
        <w:lastRenderedPageBreak/>
        <w:t>“</w:t>
      </w:r>
      <w:r w:rsidRPr="00F575FF">
        <w:rPr>
          <w:i/>
          <w:iCs/>
          <w:sz w:val="22"/>
          <w:szCs w:val="22"/>
        </w:rPr>
        <w:t>QFC</w:t>
      </w:r>
      <w:r w:rsidRPr="00F575FF">
        <w:rPr>
          <w:sz w:val="22"/>
          <w:szCs w:val="22"/>
        </w:rPr>
        <w:t>” has the meaning assigned to th</w:t>
      </w:r>
      <w:r w:rsidR="00C86B1F">
        <w:rPr>
          <w:sz w:val="22"/>
          <w:szCs w:val="22"/>
        </w:rPr>
        <w:t>e</w:t>
      </w:r>
      <w:r w:rsidRPr="00F575FF">
        <w:rPr>
          <w:sz w:val="22"/>
          <w:szCs w:val="22"/>
        </w:rPr>
        <w:t xml:space="preserve"> term</w:t>
      </w:r>
      <w:r w:rsidR="00C86B1F">
        <w:rPr>
          <w:sz w:val="22"/>
          <w:szCs w:val="22"/>
        </w:rPr>
        <w:t xml:space="preserve"> “qualified financial contract”</w:t>
      </w:r>
      <w:r w:rsidRPr="00F575FF">
        <w:rPr>
          <w:sz w:val="22"/>
          <w:szCs w:val="22"/>
        </w:rPr>
        <w:t xml:space="preserve"> </w:t>
      </w:r>
      <w:r w:rsidR="00482235">
        <w:rPr>
          <w:sz w:val="22"/>
          <w:szCs w:val="22"/>
        </w:rPr>
        <w:t xml:space="preserve">as defined </w:t>
      </w:r>
      <w:r w:rsidRPr="00F575FF">
        <w:rPr>
          <w:sz w:val="22"/>
          <w:szCs w:val="22"/>
        </w:rPr>
        <w:t>in, and shall be interpreted in acc</w:t>
      </w:r>
      <w:r w:rsidRPr="00F575FF">
        <w:rPr>
          <w:sz w:val="22"/>
          <w:szCs w:val="22"/>
        </w:rPr>
        <w:t>ordance with, 12 U.S.C. 5390(c)(8)(D).</w:t>
      </w:r>
    </w:p>
    <w:p w:rsidR="006F5B9A" w:rsidRPr="00F575FF" w:rsidRDefault="005D11B0" w:rsidP="006F5B9A">
      <w:pPr>
        <w:pStyle w:val="BodyText"/>
        <w:rPr>
          <w:sz w:val="22"/>
          <w:szCs w:val="22"/>
        </w:rPr>
      </w:pPr>
      <w:r w:rsidRPr="00F575FF">
        <w:rPr>
          <w:sz w:val="22"/>
          <w:szCs w:val="22"/>
        </w:rPr>
        <w:t>“</w:t>
      </w:r>
      <w:r w:rsidRPr="00F575FF">
        <w:rPr>
          <w:i/>
          <w:iCs/>
          <w:sz w:val="22"/>
          <w:szCs w:val="22"/>
        </w:rPr>
        <w:t>QFC Stay Rules</w:t>
      </w:r>
      <w:r w:rsidRPr="00F575FF">
        <w:rPr>
          <w:sz w:val="22"/>
          <w:szCs w:val="22"/>
        </w:rPr>
        <w:t xml:space="preserve">” means, (i) with respect to a Covered Entity described in 12 C.F.R. 252.82(b), the regulations that are codified at 12 C.F.R. </w:t>
      </w:r>
      <w:r w:rsidR="007F11AE">
        <w:rPr>
          <w:sz w:val="22"/>
          <w:szCs w:val="22"/>
        </w:rPr>
        <w:t xml:space="preserve">252.2, </w:t>
      </w:r>
      <w:r w:rsidRPr="00F575FF">
        <w:rPr>
          <w:sz w:val="22"/>
          <w:szCs w:val="22"/>
        </w:rPr>
        <w:t>252.81–8 (the “</w:t>
      </w:r>
      <w:r w:rsidRPr="00F575FF">
        <w:rPr>
          <w:b/>
          <w:bCs/>
          <w:sz w:val="22"/>
          <w:szCs w:val="22"/>
        </w:rPr>
        <w:t>FRB Rule</w:t>
      </w:r>
      <w:r w:rsidRPr="00F575FF">
        <w:rPr>
          <w:sz w:val="22"/>
          <w:szCs w:val="22"/>
        </w:rPr>
        <w:t>”); (ii) with respect to a Covered Entity des</w:t>
      </w:r>
      <w:r w:rsidRPr="00F575FF">
        <w:rPr>
          <w:sz w:val="22"/>
          <w:szCs w:val="22"/>
        </w:rPr>
        <w:t>cribed in 12 C.F.R. 382.2(b), the regulations that are codified at 12 C.F.R. 382.1-7 (the “</w:t>
      </w:r>
      <w:r w:rsidRPr="00F575FF">
        <w:rPr>
          <w:b/>
          <w:bCs/>
          <w:sz w:val="22"/>
          <w:szCs w:val="22"/>
        </w:rPr>
        <w:t>FDIC Rule</w:t>
      </w:r>
      <w:r w:rsidRPr="00F575FF">
        <w:rPr>
          <w:sz w:val="22"/>
          <w:szCs w:val="22"/>
        </w:rPr>
        <w:t xml:space="preserve">”); and (iii) with respect to a Covered Entity described in 12 C.F.R 47.3(b), the regulations that are codified at </w:t>
      </w:r>
      <w:r w:rsidRPr="00F575FF">
        <w:rPr>
          <w:bCs/>
          <w:sz w:val="22"/>
          <w:szCs w:val="22"/>
        </w:rPr>
        <w:t>12 C.F.R. 47.1-8 (the “</w:t>
      </w:r>
      <w:r w:rsidRPr="00F575FF">
        <w:rPr>
          <w:b/>
          <w:sz w:val="22"/>
          <w:szCs w:val="22"/>
        </w:rPr>
        <w:t>OCC Rule</w:t>
      </w:r>
      <w:r w:rsidRPr="00F575FF">
        <w:rPr>
          <w:bCs/>
          <w:sz w:val="22"/>
          <w:szCs w:val="22"/>
        </w:rPr>
        <w:t>”)</w:t>
      </w:r>
      <w:r w:rsidRPr="00F575FF">
        <w:rPr>
          <w:sz w:val="22"/>
          <w:szCs w:val="22"/>
        </w:rPr>
        <w:t>. All re</w:t>
      </w:r>
      <w:r w:rsidRPr="00F575FF">
        <w:rPr>
          <w:sz w:val="22"/>
          <w:szCs w:val="22"/>
        </w:rPr>
        <w:t>ferences in this Agreement to specific provisions of the FRB Rule, the FDIC Rule and the OCC Rule shall be construed, in respect of a Covered Entity or a Covered Agreement to which such Covered Entity is a party or provided by or to such Covered Entity, to</w:t>
      </w:r>
      <w:r w:rsidRPr="00F575FF">
        <w:rPr>
          <w:sz w:val="22"/>
          <w:szCs w:val="22"/>
        </w:rPr>
        <w:t xml:space="preserve"> refer to the QFC Stay Rules applicable to such Covered Entity.</w:t>
      </w:r>
    </w:p>
    <w:p w:rsidR="006F5B9A" w:rsidRPr="00F575FF" w:rsidRDefault="005D11B0" w:rsidP="00490A8B">
      <w:pPr>
        <w:pStyle w:val="BodyText"/>
        <w:rPr>
          <w:sz w:val="22"/>
          <w:szCs w:val="22"/>
        </w:rPr>
      </w:pPr>
      <w:r w:rsidRPr="00F575FF">
        <w:rPr>
          <w:sz w:val="22"/>
          <w:szCs w:val="22"/>
        </w:rPr>
        <w:t>“</w:t>
      </w:r>
      <w:r w:rsidRPr="00F575FF">
        <w:rPr>
          <w:i/>
          <w:iCs/>
          <w:sz w:val="22"/>
          <w:szCs w:val="22"/>
        </w:rPr>
        <w:t>QFC Stay Period</w:t>
      </w:r>
      <w:r w:rsidRPr="00F575FF">
        <w:rPr>
          <w:sz w:val="22"/>
          <w:szCs w:val="22"/>
        </w:rPr>
        <w:t xml:space="preserve">” means, in the event of an Insolvency Proceeding, the period of time beginning on the commencement of such Insolvency Proceeding and ending at the later of 5:00 p.m. (Eastern </w:t>
      </w:r>
      <w:r w:rsidRPr="00F575FF">
        <w:rPr>
          <w:sz w:val="22"/>
          <w:szCs w:val="22"/>
        </w:rPr>
        <w:t>Time) on the first day on which commercial banks in the jurisdiction of the proceeding are open for general business (including dealings in foreign exchange and foreign currency deposits) following the date of the commencement and 48 hours after the commen</w:t>
      </w:r>
      <w:r w:rsidRPr="00F575FF">
        <w:rPr>
          <w:sz w:val="22"/>
          <w:szCs w:val="22"/>
        </w:rPr>
        <w:t>cement</w:t>
      </w:r>
      <w:r w:rsidR="00490A8B">
        <w:rPr>
          <w:sz w:val="22"/>
          <w:szCs w:val="22"/>
        </w:rPr>
        <w:t xml:space="preserve"> of such Insolvency Proceeding.</w:t>
      </w:r>
    </w:p>
    <w:p w:rsidR="006F5B9A" w:rsidRDefault="005D11B0" w:rsidP="006F5B9A">
      <w:pPr>
        <w:pStyle w:val="BodyText"/>
        <w:rPr>
          <w:sz w:val="22"/>
          <w:szCs w:val="22"/>
        </w:rPr>
      </w:pPr>
      <w:r w:rsidRPr="00F575FF">
        <w:rPr>
          <w:sz w:val="22"/>
          <w:szCs w:val="22"/>
        </w:rPr>
        <w:t>“</w:t>
      </w:r>
      <w:r w:rsidRPr="00F575FF">
        <w:rPr>
          <w:i/>
          <w:iCs/>
          <w:sz w:val="22"/>
          <w:szCs w:val="22"/>
        </w:rPr>
        <w:t>Small Financial Institution</w:t>
      </w:r>
      <w:r w:rsidRPr="00F575FF">
        <w:rPr>
          <w:sz w:val="22"/>
          <w:szCs w:val="22"/>
        </w:rPr>
        <w:t>” has the meaning given to such term in, and shall be interpreted in accordance with, 12 C.F.R. 252.81, 12 C.F.R. 382.1 and 12 C.F.R. 47.2.</w:t>
      </w:r>
    </w:p>
    <w:p w:rsidR="004248CE" w:rsidRPr="003B5906" w:rsidRDefault="005D11B0" w:rsidP="004248CE">
      <w:pPr>
        <w:pStyle w:val="BodyText"/>
        <w:rPr>
          <w:sz w:val="22"/>
          <w:szCs w:val="22"/>
        </w:rPr>
      </w:pPr>
      <w:r>
        <w:rPr>
          <w:sz w:val="22"/>
          <w:szCs w:val="22"/>
        </w:rPr>
        <w:t>“</w:t>
      </w:r>
      <w:r>
        <w:rPr>
          <w:i/>
          <w:iCs/>
          <w:sz w:val="22"/>
          <w:szCs w:val="22"/>
        </w:rPr>
        <w:t>State</w:t>
      </w:r>
      <w:r>
        <w:rPr>
          <w:sz w:val="22"/>
          <w:szCs w:val="22"/>
        </w:rPr>
        <w:t xml:space="preserve">” means any state, commonwealth, territory, </w:t>
      </w:r>
      <w:r>
        <w:rPr>
          <w:sz w:val="22"/>
          <w:szCs w:val="22"/>
        </w:rPr>
        <w:t>or possession of the United States of America, the District of Columbia, the Commonwealth of Puerto Rico, the Commonwealth of the Northern Mariana Islands, American Samoa, Guam, or the United States Virgin Islands.</w:t>
      </w:r>
    </w:p>
    <w:p w:rsidR="006F5B9A" w:rsidRPr="00F575FF" w:rsidRDefault="005D11B0" w:rsidP="006F5B9A">
      <w:pPr>
        <w:pStyle w:val="BodyText"/>
        <w:rPr>
          <w:sz w:val="22"/>
          <w:szCs w:val="22"/>
        </w:rPr>
      </w:pPr>
      <w:r w:rsidRPr="00F575FF">
        <w:rPr>
          <w:sz w:val="22"/>
          <w:szCs w:val="22"/>
        </w:rPr>
        <w:t>“</w:t>
      </w:r>
      <w:r w:rsidRPr="00F575FF">
        <w:rPr>
          <w:i/>
          <w:iCs/>
          <w:sz w:val="22"/>
          <w:szCs w:val="22"/>
        </w:rPr>
        <w:t>Third Party Credit Enhancement</w:t>
      </w:r>
      <w:r w:rsidRPr="00F575FF">
        <w:rPr>
          <w:sz w:val="22"/>
          <w:szCs w:val="22"/>
        </w:rPr>
        <w:t>” means, w</w:t>
      </w:r>
      <w:r w:rsidRPr="00F575FF">
        <w:rPr>
          <w:sz w:val="22"/>
          <w:szCs w:val="22"/>
        </w:rPr>
        <w:t>ith respect to a Party and a Covered Agreement, any Credit Enhancement that is executed or provided by one or more Third Parties (whether or not a Party is also a party thereto), regardless of whether or not such document is identified as a Third Party Cre</w:t>
      </w:r>
      <w:r w:rsidRPr="00F575FF">
        <w:rPr>
          <w:sz w:val="22"/>
          <w:szCs w:val="22"/>
        </w:rPr>
        <w:t>dit Enhancement.</w:t>
      </w:r>
    </w:p>
    <w:p w:rsidR="006F5B9A" w:rsidRPr="00F575FF" w:rsidRDefault="005D11B0" w:rsidP="006F5B9A">
      <w:pPr>
        <w:pStyle w:val="BodyText"/>
        <w:rPr>
          <w:sz w:val="22"/>
          <w:szCs w:val="22"/>
        </w:rPr>
      </w:pPr>
      <w:r w:rsidRPr="00F575FF">
        <w:rPr>
          <w:sz w:val="22"/>
          <w:szCs w:val="22"/>
        </w:rPr>
        <w:t>“</w:t>
      </w:r>
      <w:r w:rsidRPr="00F575FF">
        <w:rPr>
          <w:i/>
          <w:iCs/>
          <w:sz w:val="22"/>
          <w:szCs w:val="22"/>
        </w:rPr>
        <w:t>Third Party</w:t>
      </w:r>
      <w:r w:rsidRPr="00F575FF">
        <w:rPr>
          <w:sz w:val="22"/>
          <w:szCs w:val="22"/>
        </w:rPr>
        <w:t>” means any Person other than the Parties to this Agreement.</w:t>
      </w:r>
    </w:p>
    <w:p w:rsidR="006F5B9A" w:rsidRPr="00F575FF" w:rsidRDefault="005D11B0" w:rsidP="006F5B9A">
      <w:pPr>
        <w:pStyle w:val="BodyText"/>
        <w:rPr>
          <w:sz w:val="22"/>
          <w:szCs w:val="22"/>
        </w:rPr>
      </w:pPr>
      <w:r w:rsidRPr="00F575FF">
        <w:rPr>
          <w:sz w:val="22"/>
          <w:szCs w:val="22"/>
        </w:rPr>
        <w:t>“</w:t>
      </w:r>
      <w:r w:rsidRPr="00F575FF">
        <w:rPr>
          <w:i/>
          <w:iCs/>
          <w:sz w:val="22"/>
          <w:szCs w:val="22"/>
        </w:rPr>
        <w:t>Transferee</w:t>
      </w:r>
      <w:r w:rsidRPr="00F575FF">
        <w:rPr>
          <w:sz w:val="22"/>
          <w:szCs w:val="22"/>
        </w:rPr>
        <w:t>” means, in respect of a Covered Affiliate Credit Enhancement, a Person to whom such Covered Affiliate Credit Enhancement is transferred upon the Covered A</w:t>
      </w:r>
      <w:r w:rsidRPr="00F575FF">
        <w:rPr>
          <w:sz w:val="22"/>
          <w:szCs w:val="22"/>
        </w:rPr>
        <w:t>ffiliate Support Provider entering Insolvency Proceeding or thereafter as part of the resolution, restructuring, or reorganization involving such Covered Affiliate Support Provider.</w:t>
      </w:r>
    </w:p>
    <w:p w:rsidR="006F5B9A" w:rsidRPr="00F575FF" w:rsidRDefault="005D11B0" w:rsidP="006F5B9A">
      <w:pPr>
        <w:pStyle w:val="BodyText"/>
        <w:rPr>
          <w:sz w:val="22"/>
          <w:szCs w:val="22"/>
        </w:rPr>
      </w:pPr>
      <w:r w:rsidRPr="00F575FF">
        <w:rPr>
          <w:sz w:val="22"/>
          <w:szCs w:val="22"/>
        </w:rPr>
        <w:t>“</w:t>
      </w:r>
      <w:r w:rsidRPr="00F575FF">
        <w:rPr>
          <w:i/>
          <w:iCs/>
          <w:sz w:val="22"/>
          <w:szCs w:val="22"/>
        </w:rPr>
        <w:t>U.S. Special Resolution Regimes</w:t>
      </w:r>
      <w:r w:rsidRPr="00F575FF">
        <w:rPr>
          <w:sz w:val="22"/>
          <w:szCs w:val="22"/>
        </w:rPr>
        <w:t>” has the meaning set forth in Section 1.1</w:t>
      </w:r>
      <w:r w:rsidRPr="00F575FF">
        <w:rPr>
          <w:sz w:val="22"/>
          <w:szCs w:val="22"/>
        </w:rPr>
        <w:t>(a).</w:t>
      </w:r>
    </w:p>
    <w:p w:rsidR="006F5B9A" w:rsidRPr="00F575FF" w:rsidRDefault="005D11B0" w:rsidP="006F5B9A">
      <w:pPr>
        <w:pStyle w:val="BodyText"/>
        <w:numPr>
          <w:ilvl w:val="0"/>
          <w:numId w:val="12"/>
        </w:numPr>
        <w:ind w:left="0" w:firstLine="720"/>
        <w:rPr>
          <w:sz w:val="22"/>
          <w:szCs w:val="22"/>
        </w:rPr>
      </w:pPr>
      <w:r w:rsidRPr="00F575FF">
        <w:rPr>
          <w:sz w:val="22"/>
          <w:szCs w:val="22"/>
          <w:u w:val="single"/>
        </w:rPr>
        <w:t>Terms Generally</w:t>
      </w:r>
      <w:r w:rsidRPr="00F575FF">
        <w:rPr>
          <w:sz w:val="22"/>
          <w:szCs w:val="22"/>
        </w:rPr>
        <w:t>. The definitions of terms herein (including those incorporated by reference to another document) apply equally to the singular and plural forms of the terms defined. Whenever the context may require, any pronoun includes the correspond</w:t>
      </w:r>
      <w:r w:rsidRPr="00F575FF">
        <w:rPr>
          <w:sz w:val="22"/>
          <w:szCs w:val="22"/>
        </w:rPr>
        <w:t xml:space="preserve">ing masculine, feminine and neuter forms. The words “include”, “includes” and “including” shall be deemed to be followed by the phrase “without limitation”. The word “will” shall be construed to have the same meaning and effect as the word “shall”. Unless </w:t>
      </w:r>
      <w:r w:rsidRPr="00F575FF">
        <w:rPr>
          <w:sz w:val="22"/>
          <w:szCs w:val="22"/>
        </w:rPr>
        <w:t>the context requires otherwise, (i) any definition of or reference to any agreement, schedule, instrument or other document herein shall be construed as referring to such agreement, schedule, instrument or other document as from time to time amended, suppl</w:t>
      </w:r>
      <w:r w:rsidRPr="00F575FF">
        <w:rPr>
          <w:sz w:val="22"/>
          <w:szCs w:val="22"/>
        </w:rPr>
        <w:t xml:space="preserve">emented or otherwise modified (subject to any restrictions on such amendments, supplements or modifications set forth herein), (ii) any reference herein to any Person shall be construed to include such Person’s </w:t>
      </w:r>
      <w:r w:rsidRPr="00F575FF">
        <w:rPr>
          <w:sz w:val="22"/>
          <w:szCs w:val="22"/>
        </w:rPr>
        <w:lastRenderedPageBreak/>
        <w:t>successors and assigns, (iii) the words “here</w:t>
      </w:r>
      <w:r w:rsidRPr="00F575FF">
        <w:rPr>
          <w:sz w:val="22"/>
          <w:szCs w:val="22"/>
        </w:rPr>
        <w:t>in”, “hereof” and “hereunder”, and words of similar import, shall be construed to refer to this Agreement in its entirety and not to any particular provision hereof, (iv) all references herein to Schedules shall be construed to refer to Sections of, and Sc</w:t>
      </w:r>
      <w:r w:rsidRPr="00F575FF">
        <w:rPr>
          <w:sz w:val="22"/>
          <w:szCs w:val="22"/>
        </w:rPr>
        <w:t>hedule to, this Agreement, unless otherwise noted, and (v) the word “property” shall be construed to refer to any and all tangible and intangible assets and properties, including cash, securities, accounts and contract rights.</w:t>
      </w:r>
    </w:p>
    <w:p w:rsidR="006F5B9A" w:rsidRPr="00F575FF" w:rsidRDefault="005D11B0" w:rsidP="006F5B9A">
      <w:pPr>
        <w:pStyle w:val="BodyText"/>
        <w:rPr>
          <w:b/>
          <w:bCs/>
          <w:sz w:val="22"/>
          <w:szCs w:val="22"/>
          <w:u w:val="single"/>
          <w:lang w:bidi="ar-SA"/>
        </w:rPr>
      </w:pPr>
      <w:r w:rsidRPr="00F575FF">
        <w:rPr>
          <w:b/>
          <w:bCs/>
          <w:sz w:val="22"/>
          <w:szCs w:val="22"/>
          <w:u w:val="single"/>
          <w:lang w:bidi="ar-SA"/>
        </w:rPr>
        <w:br w:type="page"/>
      </w:r>
    </w:p>
    <w:p w:rsidR="00E635E6" w:rsidRPr="00F575FF" w:rsidRDefault="005D11B0" w:rsidP="00172D49">
      <w:pPr>
        <w:pStyle w:val="BodyText"/>
        <w:jc w:val="right"/>
        <w:rPr>
          <w:b/>
          <w:bCs/>
          <w:sz w:val="22"/>
          <w:szCs w:val="22"/>
          <w:u w:val="single"/>
          <w:lang w:bidi="ar-SA"/>
        </w:rPr>
      </w:pPr>
      <w:r w:rsidRPr="00F575FF">
        <w:rPr>
          <w:b/>
          <w:bCs/>
          <w:sz w:val="22"/>
          <w:szCs w:val="22"/>
          <w:u w:val="single"/>
          <w:lang w:bidi="ar-SA"/>
        </w:rPr>
        <w:lastRenderedPageBreak/>
        <w:t>Exhibit A</w:t>
      </w:r>
    </w:p>
    <w:p w:rsidR="00E635E6" w:rsidRPr="00F575FF" w:rsidRDefault="005D11B0" w:rsidP="00172D49">
      <w:pPr>
        <w:pStyle w:val="BodyText"/>
        <w:ind w:firstLine="0"/>
        <w:jc w:val="center"/>
        <w:rPr>
          <w:sz w:val="22"/>
          <w:szCs w:val="22"/>
          <w:lang w:bidi="ar-SA"/>
        </w:rPr>
      </w:pPr>
      <w:r w:rsidRPr="00F575FF">
        <w:rPr>
          <w:sz w:val="22"/>
          <w:szCs w:val="22"/>
          <w:lang w:bidi="ar-SA"/>
        </w:rPr>
        <w:t>[Form of]</w:t>
      </w:r>
      <w:r w:rsidRPr="00F575FF">
        <w:rPr>
          <w:sz w:val="22"/>
          <w:szCs w:val="22"/>
          <w:lang w:bidi="ar-SA"/>
        </w:rPr>
        <w:br/>
      </w:r>
      <w:r w:rsidRPr="00F575FF">
        <w:rPr>
          <w:b/>
          <w:bCs/>
          <w:sz w:val="22"/>
          <w:szCs w:val="22"/>
          <w:lang w:bidi="ar-SA"/>
        </w:rPr>
        <w:t>JOINDER</w:t>
      </w:r>
      <w:r w:rsidRPr="00F575FF">
        <w:rPr>
          <w:b/>
          <w:bCs/>
          <w:sz w:val="22"/>
          <w:szCs w:val="22"/>
          <w:lang w:bidi="ar-SA"/>
        </w:rPr>
        <w:t xml:space="preserve"> AGREEMENT</w:t>
      </w:r>
    </w:p>
    <w:p w:rsidR="00945F9A" w:rsidRPr="00F575FF" w:rsidRDefault="005D11B0" w:rsidP="0089231A">
      <w:pPr>
        <w:pStyle w:val="BodyText"/>
        <w:rPr>
          <w:sz w:val="22"/>
          <w:szCs w:val="22"/>
          <w:lang w:bidi="ar-SA"/>
        </w:rPr>
      </w:pPr>
      <w:r w:rsidRPr="00F575FF">
        <w:rPr>
          <w:sz w:val="22"/>
          <w:szCs w:val="22"/>
          <w:lang w:bidi="ar-SA"/>
        </w:rPr>
        <w:t xml:space="preserve">This </w:t>
      </w:r>
      <w:r w:rsidR="00A429C4" w:rsidRPr="00F575FF">
        <w:rPr>
          <w:sz w:val="22"/>
          <w:szCs w:val="22"/>
          <w:lang w:bidi="ar-SA"/>
        </w:rPr>
        <w:t>joinder agreement (this “</w:t>
      </w:r>
      <w:r w:rsidR="00A429C4" w:rsidRPr="00F575FF">
        <w:rPr>
          <w:b/>
          <w:bCs/>
          <w:sz w:val="22"/>
          <w:szCs w:val="22"/>
          <w:lang w:bidi="ar-SA"/>
        </w:rPr>
        <w:t>Joinder Agreement</w:t>
      </w:r>
      <w:r w:rsidR="00A429C4" w:rsidRPr="00F575FF">
        <w:rPr>
          <w:sz w:val="22"/>
          <w:szCs w:val="22"/>
          <w:lang w:bidi="ar-SA"/>
        </w:rPr>
        <w:t>”)</w:t>
      </w:r>
      <w:r w:rsidRPr="00F575FF">
        <w:rPr>
          <w:sz w:val="22"/>
          <w:szCs w:val="22"/>
          <w:lang w:bidi="ar-SA"/>
        </w:rPr>
        <w:t xml:space="preserve"> to the Agreement to Amend Certain Qualified Financial Contracts dated as of [</w:t>
      </w:r>
      <w:r w:rsidRPr="00F575FF">
        <w:rPr>
          <w:rFonts w:cs="Times New Roman"/>
          <w:sz w:val="22"/>
          <w:szCs w:val="22"/>
          <w:lang w:bidi="ar-SA"/>
        </w:rPr>
        <w:t>●</w:t>
      </w:r>
      <w:r w:rsidRPr="00F575FF">
        <w:rPr>
          <w:sz w:val="22"/>
          <w:szCs w:val="22"/>
          <w:lang w:bidi="ar-SA"/>
        </w:rPr>
        <w:t>], 2018 (as amended and in effect from time to time, the “</w:t>
      </w:r>
      <w:r w:rsidRPr="00F575FF">
        <w:rPr>
          <w:b/>
          <w:bCs/>
          <w:sz w:val="22"/>
          <w:szCs w:val="22"/>
          <w:lang w:bidi="ar-SA"/>
        </w:rPr>
        <w:t>Agreement</w:t>
      </w:r>
      <w:r w:rsidRPr="00F575FF">
        <w:rPr>
          <w:sz w:val="22"/>
          <w:szCs w:val="22"/>
          <w:lang w:bidi="ar-SA"/>
        </w:rPr>
        <w:t xml:space="preserve">”) </w:t>
      </w:r>
      <w:r w:rsidR="001C3519" w:rsidRPr="00F575FF">
        <w:rPr>
          <w:sz w:val="22"/>
          <w:szCs w:val="22"/>
          <w:lang w:bidi="ar-SA"/>
        </w:rPr>
        <w:t>among</w:t>
      </w:r>
      <w:r w:rsidRPr="00F575FF">
        <w:rPr>
          <w:sz w:val="22"/>
          <w:szCs w:val="22"/>
          <w:lang w:bidi="ar-SA"/>
        </w:rPr>
        <w:t xml:space="preserve"> [</w:t>
      </w:r>
      <w:r w:rsidR="00C76C8C" w:rsidRPr="00F575FF">
        <w:rPr>
          <w:sz w:val="22"/>
          <w:szCs w:val="22"/>
          <w:lang w:bidi="ar-SA"/>
        </w:rPr>
        <w:t xml:space="preserve">Name of </w:t>
      </w:r>
      <w:r w:rsidRPr="00F575FF">
        <w:rPr>
          <w:sz w:val="22"/>
          <w:szCs w:val="22"/>
          <w:lang w:bidi="ar-SA"/>
        </w:rPr>
        <w:t xml:space="preserve">G-SIB </w:t>
      </w:r>
      <w:r w:rsidR="007173F1" w:rsidRPr="00F575FF">
        <w:rPr>
          <w:sz w:val="22"/>
          <w:szCs w:val="22"/>
          <w:lang w:bidi="ar-SA"/>
        </w:rPr>
        <w:t>Entity</w:t>
      </w:r>
      <w:r w:rsidRPr="00F575FF">
        <w:rPr>
          <w:sz w:val="22"/>
          <w:szCs w:val="22"/>
          <w:lang w:bidi="ar-SA"/>
        </w:rPr>
        <w:t xml:space="preserve">] </w:t>
      </w:r>
      <w:r w:rsidRPr="00F575FF">
        <w:rPr>
          <w:sz w:val="22"/>
          <w:szCs w:val="22"/>
        </w:rPr>
        <w:t xml:space="preserve">and each of its </w:t>
      </w:r>
      <w:r w:rsidR="0089231A" w:rsidRPr="00F575FF">
        <w:rPr>
          <w:sz w:val="22"/>
          <w:szCs w:val="22"/>
        </w:rPr>
        <w:t>BHCA Affiliates</w:t>
      </w:r>
      <w:r w:rsidR="007173F1" w:rsidRPr="00F575FF">
        <w:rPr>
          <w:sz w:val="22"/>
          <w:szCs w:val="22"/>
        </w:rPr>
        <w:t xml:space="preserve"> </w:t>
      </w:r>
      <w:r w:rsidRPr="00F575FF">
        <w:rPr>
          <w:sz w:val="22"/>
          <w:szCs w:val="22"/>
        </w:rPr>
        <w:t xml:space="preserve">listed on </w:t>
      </w:r>
      <w:r w:rsidR="00C76C8C" w:rsidRPr="00F575FF">
        <w:rPr>
          <w:sz w:val="22"/>
          <w:szCs w:val="22"/>
        </w:rPr>
        <w:t>[</w:t>
      </w:r>
      <w:r w:rsidRPr="00F575FF">
        <w:rPr>
          <w:sz w:val="22"/>
          <w:szCs w:val="22"/>
        </w:rPr>
        <w:t>the signature pages thereto</w:t>
      </w:r>
      <w:r w:rsidR="00C76C8C" w:rsidRPr="00F575FF">
        <w:rPr>
          <w:sz w:val="22"/>
          <w:szCs w:val="22"/>
        </w:rPr>
        <w:t xml:space="preserve"> / Schedule 1 thereto]</w:t>
      </w:r>
      <w:r>
        <w:rPr>
          <w:rStyle w:val="FootnoteReference"/>
          <w:sz w:val="22"/>
          <w:szCs w:val="22"/>
        </w:rPr>
        <w:footnoteReference w:id="13"/>
      </w:r>
      <w:r w:rsidR="00C76C8C" w:rsidRPr="00F575FF">
        <w:rPr>
          <w:sz w:val="22"/>
          <w:szCs w:val="22"/>
        </w:rPr>
        <w:t xml:space="preserve"> </w:t>
      </w:r>
      <w:r w:rsidRPr="00F575FF">
        <w:rPr>
          <w:sz w:val="22"/>
          <w:szCs w:val="22"/>
          <w:lang w:bidi="ar-SA"/>
        </w:rPr>
        <w:t xml:space="preserve"> (</w:t>
      </w:r>
      <w:r w:rsidR="00C76C8C" w:rsidRPr="00F575FF">
        <w:rPr>
          <w:sz w:val="22"/>
          <w:szCs w:val="22"/>
          <w:lang w:bidi="ar-SA"/>
        </w:rPr>
        <w:t xml:space="preserve">together with [Name of G-SIB </w:t>
      </w:r>
      <w:r w:rsidR="007173F1" w:rsidRPr="00F575FF">
        <w:rPr>
          <w:sz w:val="22"/>
          <w:szCs w:val="22"/>
          <w:lang w:bidi="ar-SA"/>
        </w:rPr>
        <w:t>Entity</w:t>
      </w:r>
      <w:r w:rsidR="00C76C8C" w:rsidRPr="00F575FF">
        <w:rPr>
          <w:sz w:val="22"/>
          <w:szCs w:val="22"/>
          <w:lang w:bidi="ar-SA"/>
        </w:rPr>
        <w:t xml:space="preserve">], </w:t>
      </w:r>
      <w:r w:rsidRPr="00F575FF">
        <w:rPr>
          <w:sz w:val="22"/>
          <w:szCs w:val="22"/>
          <w:lang w:bidi="ar-SA"/>
        </w:rPr>
        <w:t>“</w:t>
      </w:r>
      <w:r w:rsidRPr="00F575FF">
        <w:rPr>
          <w:b/>
          <w:bCs/>
          <w:sz w:val="22"/>
          <w:szCs w:val="22"/>
          <w:lang w:bidi="ar-SA"/>
        </w:rPr>
        <w:t>Covered Entity Group</w:t>
      </w:r>
      <w:r w:rsidRPr="00F575FF">
        <w:rPr>
          <w:sz w:val="22"/>
          <w:szCs w:val="22"/>
          <w:lang w:bidi="ar-SA"/>
        </w:rPr>
        <w:t>”)</w:t>
      </w:r>
      <w:r w:rsidR="00615838" w:rsidRPr="00F575FF">
        <w:rPr>
          <w:sz w:val="22"/>
          <w:szCs w:val="22"/>
          <w:lang w:bidi="ar-SA"/>
        </w:rPr>
        <w:t xml:space="preserve">] </w:t>
      </w:r>
      <w:r w:rsidR="001C3519" w:rsidRPr="00F575FF">
        <w:rPr>
          <w:sz w:val="22"/>
          <w:szCs w:val="22"/>
          <w:lang w:bidi="ar-SA"/>
        </w:rPr>
        <w:t>and</w:t>
      </w:r>
      <w:r w:rsidRPr="00F575FF">
        <w:rPr>
          <w:sz w:val="22"/>
          <w:szCs w:val="22"/>
          <w:lang w:bidi="ar-SA"/>
        </w:rPr>
        <w:t xml:space="preserve"> [</w:t>
      </w:r>
      <w:r w:rsidR="00C76C8C" w:rsidRPr="00F575FF">
        <w:rPr>
          <w:sz w:val="22"/>
          <w:szCs w:val="22"/>
          <w:lang w:bidi="ar-SA"/>
        </w:rPr>
        <w:t xml:space="preserve">Name of Counterparty </w:t>
      </w:r>
      <w:r w:rsidR="0089231A" w:rsidRPr="00F575FF">
        <w:rPr>
          <w:sz w:val="22"/>
          <w:szCs w:val="22"/>
          <w:lang w:bidi="ar-SA"/>
        </w:rPr>
        <w:t>Entity</w:t>
      </w:r>
      <w:r w:rsidRPr="00F575FF">
        <w:rPr>
          <w:sz w:val="22"/>
          <w:szCs w:val="22"/>
          <w:lang w:bidi="ar-SA"/>
        </w:rPr>
        <w:t xml:space="preserve">] and each of its </w:t>
      </w:r>
      <w:r w:rsidR="0089231A" w:rsidRPr="00F575FF">
        <w:rPr>
          <w:sz w:val="22"/>
          <w:szCs w:val="22"/>
          <w:lang w:bidi="ar-SA"/>
        </w:rPr>
        <w:t>Counterparty Affiliates</w:t>
      </w:r>
      <w:r w:rsidRPr="00F575FF">
        <w:rPr>
          <w:sz w:val="22"/>
          <w:szCs w:val="22"/>
          <w:lang w:bidi="ar-SA"/>
        </w:rPr>
        <w:t xml:space="preserve"> listed on the signature pages thereto (</w:t>
      </w:r>
      <w:r w:rsidR="00C76C8C" w:rsidRPr="00F575FF">
        <w:rPr>
          <w:sz w:val="22"/>
          <w:szCs w:val="22"/>
          <w:lang w:bidi="ar-SA"/>
        </w:rPr>
        <w:t xml:space="preserve">together with [Name of Counterparty </w:t>
      </w:r>
      <w:r w:rsidR="0089231A" w:rsidRPr="00F575FF">
        <w:rPr>
          <w:sz w:val="22"/>
          <w:szCs w:val="22"/>
          <w:lang w:bidi="ar-SA"/>
        </w:rPr>
        <w:t>Entity</w:t>
      </w:r>
      <w:r w:rsidR="00C76C8C" w:rsidRPr="00F575FF">
        <w:rPr>
          <w:sz w:val="22"/>
          <w:szCs w:val="22"/>
          <w:lang w:bidi="ar-SA"/>
        </w:rPr>
        <w:t xml:space="preserve">], </w:t>
      </w:r>
      <w:r w:rsidRPr="00F575FF">
        <w:rPr>
          <w:sz w:val="22"/>
          <w:szCs w:val="22"/>
          <w:lang w:bidi="ar-SA"/>
        </w:rPr>
        <w:t>“</w:t>
      </w:r>
      <w:r w:rsidRPr="00F575FF">
        <w:rPr>
          <w:b/>
          <w:bCs/>
          <w:sz w:val="22"/>
          <w:szCs w:val="22"/>
          <w:lang w:bidi="ar-SA"/>
        </w:rPr>
        <w:t>Counterparty Group</w:t>
      </w:r>
      <w:r w:rsidRPr="00F575FF">
        <w:rPr>
          <w:sz w:val="22"/>
          <w:szCs w:val="22"/>
          <w:lang w:bidi="ar-SA"/>
        </w:rPr>
        <w:t>”)</w:t>
      </w:r>
      <w:r w:rsidR="001C3519" w:rsidRPr="00F575FF">
        <w:rPr>
          <w:sz w:val="22"/>
          <w:szCs w:val="22"/>
          <w:lang w:bidi="ar-SA"/>
        </w:rPr>
        <w:t xml:space="preserve"> </w:t>
      </w:r>
      <w:r w:rsidRPr="00F575FF">
        <w:rPr>
          <w:sz w:val="22"/>
          <w:szCs w:val="22"/>
          <w:lang w:bidi="ar-SA"/>
        </w:rPr>
        <w:t>is executed and delivered as of [</w:t>
      </w:r>
      <w:r w:rsidRPr="00F575FF">
        <w:rPr>
          <w:rFonts w:cs="Times New Roman"/>
          <w:sz w:val="22"/>
          <w:szCs w:val="22"/>
          <w:lang w:bidi="ar-SA"/>
        </w:rPr>
        <w:t>●</w:t>
      </w:r>
      <w:r w:rsidRPr="00F575FF">
        <w:rPr>
          <w:sz w:val="22"/>
          <w:szCs w:val="22"/>
          <w:lang w:bidi="ar-SA"/>
        </w:rPr>
        <w:t>], 20[</w:t>
      </w:r>
      <w:r w:rsidRPr="00F575FF">
        <w:rPr>
          <w:rFonts w:cs="Times New Roman"/>
          <w:sz w:val="22"/>
          <w:szCs w:val="22"/>
          <w:lang w:bidi="ar-SA"/>
        </w:rPr>
        <w:t>●</w:t>
      </w:r>
      <w:r w:rsidRPr="00F575FF">
        <w:rPr>
          <w:sz w:val="22"/>
          <w:szCs w:val="22"/>
          <w:lang w:bidi="ar-SA"/>
        </w:rPr>
        <w:t xml:space="preserve">] by the undersigned Person. </w:t>
      </w:r>
    </w:p>
    <w:p w:rsidR="002B4F8C" w:rsidRPr="00F575FF" w:rsidRDefault="005D11B0" w:rsidP="00C76C8C">
      <w:pPr>
        <w:pStyle w:val="BodyText"/>
        <w:rPr>
          <w:sz w:val="22"/>
          <w:szCs w:val="22"/>
          <w:lang w:bidi="ar-SA"/>
        </w:rPr>
      </w:pPr>
      <w:r w:rsidRPr="00F575FF">
        <w:rPr>
          <w:sz w:val="22"/>
          <w:szCs w:val="22"/>
          <w:lang w:bidi="ar-SA"/>
        </w:rPr>
        <w:t>Capitalized terms used but not otherwise defined herein are used as defined in the Agreement.</w:t>
      </w:r>
    </w:p>
    <w:p w:rsidR="002B4F8C" w:rsidRPr="00F575FF" w:rsidRDefault="005D11B0" w:rsidP="00172D49">
      <w:pPr>
        <w:pStyle w:val="BodyText"/>
        <w:ind w:firstLine="0"/>
        <w:jc w:val="center"/>
        <w:rPr>
          <w:sz w:val="22"/>
          <w:szCs w:val="22"/>
          <w:lang w:bidi="ar-SA"/>
        </w:rPr>
      </w:pPr>
      <w:r w:rsidRPr="00F575FF">
        <w:rPr>
          <w:sz w:val="22"/>
          <w:szCs w:val="22"/>
          <w:lang w:bidi="ar-SA"/>
        </w:rPr>
        <w:t>WITNESSETH:</w:t>
      </w:r>
    </w:p>
    <w:p w:rsidR="002B4F8C" w:rsidRPr="00F575FF" w:rsidRDefault="005D11B0" w:rsidP="0089231A">
      <w:pPr>
        <w:pStyle w:val="BodyText"/>
        <w:rPr>
          <w:sz w:val="22"/>
          <w:szCs w:val="22"/>
          <w:lang w:bidi="ar-SA"/>
        </w:rPr>
      </w:pPr>
      <w:r w:rsidRPr="00F575FF">
        <w:rPr>
          <w:sz w:val="22"/>
          <w:szCs w:val="22"/>
          <w:lang w:bidi="ar-SA"/>
        </w:rPr>
        <w:t>WHEREAS, pur</w:t>
      </w:r>
      <w:r w:rsidRPr="00F575FF">
        <w:rPr>
          <w:sz w:val="22"/>
          <w:szCs w:val="22"/>
          <w:lang w:bidi="ar-SA"/>
        </w:rPr>
        <w:t xml:space="preserve">suant to Section </w:t>
      </w:r>
      <w:r w:rsidR="00BB53C3" w:rsidRPr="00F575FF">
        <w:rPr>
          <w:sz w:val="22"/>
          <w:szCs w:val="22"/>
          <w:lang w:bidi="ar-SA"/>
        </w:rPr>
        <w:t>4</w:t>
      </w:r>
      <w:r w:rsidRPr="00F575FF">
        <w:rPr>
          <w:sz w:val="22"/>
          <w:szCs w:val="22"/>
          <w:lang w:bidi="ar-SA"/>
        </w:rPr>
        <w:t>.</w:t>
      </w:r>
      <w:r w:rsidR="001E6C0F" w:rsidRPr="00F575FF">
        <w:rPr>
          <w:sz w:val="22"/>
          <w:szCs w:val="22"/>
          <w:lang w:bidi="ar-SA"/>
        </w:rPr>
        <w:t>5</w:t>
      </w:r>
      <w:r w:rsidRPr="00F575FF">
        <w:rPr>
          <w:sz w:val="22"/>
          <w:szCs w:val="22"/>
          <w:lang w:bidi="ar-SA"/>
        </w:rPr>
        <w:t xml:space="preserve"> of the Agreement, any Person that is</w:t>
      </w:r>
      <w:r w:rsidR="0089231A" w:rsidRPr="00F575FF">
        <w:rPr>
          <w:sz w:val="22"/>
          <w:szCs w:val="22"/>
          <w:lang w:bidi="ar-SA"/>
        </w:rPr>
        <w:t xml:space="preserve"> a Counterparty Affiliate or BHCA Affiliate of a party to the Agreement but that is not itself</w:t>
      </w:r>
      <w:r w:rsidRPr="00F575FF">
        <w:rPr>
          <w:sz w:val="22"/>
          <w:szCs w:val="22"/>
          <w:lang w:bidi="ar-SA"/>
        </w:rPr>
        <w:t xml:space="preserve"> a party to the Agreement</w:t>
      </w:r>
      <w:r w:rsidR="001C3519" w:rsidRPr="00F575FF">
        <w:rPr>
          <w:sz w:val="22"/>
          <w:szCs w:val="22"/>
          <w:lang w:bidi="ar-SA"/>
        </w:rPr>
        <w:t xml:space="preserve"> may</w:t>
      </w:r>
      <w:r w:rsidRPr="00F575FF">
        <w:rPr>
          <w:sz w:val="22"/>
          <w:szCs w:val="22"/>
          <w:lang w:bidi="ar-SA"/>
        </w:rPr>
        <w:t xml:space="preserve"> execute and deliver this </w:t>
      </w:r>
      <w:r w:rsidR="00A429C4" w:rsidRPr="00F575FF">
        <w:rPr>
          <w:sz w:val="22"/>
          <w:szCs w:val="22"/>
          <w:lang w:bidi="ar-SA"/>
        </w:rPr>
        <w:t>Joinder Agreement</w:t>
      </w:r>
      <w:r w:rsidRPr="00F575FF">
        <w:rPr>
          <w:sz w:val="22"/>
          <w:szCs w:val="22"/>
          <w:lang w:bidi="ar-SA"/>
        </w:rPr>
        <w:t>; and</w:t>
      </w:r>
    </w:p>
    <w:p w:rsidR="00543EA4" w:rsidRPr="00F575FF" w:rsidRDefault="005D11B0" w:rsidP="001C3519">
      <w:pPr>
        <w:pStyle w:val="BodyText"/>
        <w:rPr>
          <w:sz w:val="22"/>
          <w:szCs w:val="22"/>
          <w:lang w:bidi="ar-SA"/>
        </w:rPr>
      </w:pPr>
      <w:r w:rsidRPr="00F575FF">
        <w:rPr>
          <w:sz w:val="22"/>
          <w:szCs w:val="22"/>
          <w:lang w:bidi="ar-SA"/>
        </w:rPr>
        <w:t>WHEREAS, the undersigned Pe</w:t>
      </w:r>
      <w:r w:rsidRPr="00F575FF">
        <w:rPr>
          <w:sz w:val="22"/>
          <w:szCs w:val="22"/>
          <w:lang w:bidi="ar-SA"/>
        </w:rPr>
        <w:t>rson (the “</w:t>
      </w:r>
      <w:r w:rsidRPr="00F575FF">
        <w:rPr>
          <w:b/>
          <w:bCs/>
          <w:sz w:val="22"/>
          <w:szCs w:val="22"/>
          <w:lang w:bidi="ar-SA"/>
        </w:rPr>
        <w:t>New Party</w:t>
      </w:r>
      <w:r w:rsidRPr="00F575FF">
        <w:rPr>
          <w:sz w:val="22"/>
          <w:szCs w:val="22"/>
          <w:lang w:bidi="ar-SA"/>
        </w:rPr>
        <w:t xml:space="preserve">”) </w:t>
      </w:r>
      <w:r w:rsidR="001C3519" w:rsidRPr="00F575FF">
        <w:rPr>
          <w:sz w:val="22"/>
          <w:szCs w:val="22"/>
          <w:lang w:bidi="ar-SA"/>
        </w:rPr>
        <w:t>wishes to</w:t>
      </w:r>
      <w:r w:rsidRPr="00F575FF">
        <w:rPr>
          <w:sz w:val="22"/>
          <w:szCs w:val="22"/>
          <w:lang w:bidi="ar-SA"/>
        </w:rPr>
        <w:t xml:space="preserve"> become a </w:t>
      </w:r>
      <w:r w:rsidR="00094ABE" w:rsidRPr="00F575FF">
        <w:rPr>
          <w:sz w:val="22"/>
          <w:szCs w:val="22"/>
          <w:lang w:bidi="ar-SA"/>
        </w:rPr>
        <w:t>P</w:t>
      </w:r>
      <w:r w:rsidR="00F47947" w:rsidRPr="00F575FF">
        <w:rPr>
          <w:sz w:val="22"/>
          <w:szCs w:val="22"/>
          <w:lang w:bidi="ar-SA"/>
        </w:rPr>
        <w:t>arty to the Agreement</w:t>
      </w:r>
      <w:r w:rsidRPr="00F575FF">
        <w:rPr>
          <w:sz w:val="22"/>
          <w:szCs w:val="22"/>
          <w:lang w:bidi="ar-SA"/>
        </w:rPr>
        <w:t>.</w:t>
      </w:r>
    </w:p>
    <w:p w:rsidR="00543EA4" w:rsidRPr="00F575FF" w:rsidRDefault="005D11B0" w:rsidP="00172D49">
      <w:pPr>
        <w:pStyle w:val="BodyText"/>
        <w:rPr>
          <w:sz w:val="22"/>
          <w:szCs w:val="22"/>
          <w:lang w:bidi="ar-SA"/>
        </w:rPr>
      </w:pPr>
      <w:r w:rsidRPr="00F575FF">
        <w:rPr>
          <w:sz w:val="22"/>
          <w:szCs w:val="22"/>
          <w:lang w:bidi="ar-SA"/>
        </w:rPr>
        <w:t>NOW, THEREFORE, the New Party hereby agrees as follows:</w:t>
      </w:r>
    </w:p>
    <w:p w:rsidR="00543EA4" w:rsidRPr="00F575FF" w:rsidRDefault="005D11B0" w:rsidP="00FB4170">
      <w:pPr>
        <w:pStyle w:val="ListBullet"/>
        <w:numPr>
          <w:ilvl w:val="0"/>
          <w:numId w:val="0"/>
        </w:numPr>
        <w:ind w:firstLine="720"/>
        <w:rPr>
          <w:sz w:val="22"/>
          <w:szCs w:val="22"/>
          <w:lang w:bidi="ar-SA"/>
        </w:rPr>
      </w:pPr>
      <w:r w:rsidRPr="00F575FF">
        <w:rPr>
          <w:sz w:val="22"/>
          <w:szCs w:val="22"/>
          <w:lang w:bidi="ar-SA"/>
        </w:rPr>
        <w:t>1.</w:t>
      </w:r>
      <w:r w:rsidRPr="00F575FF">
        <w:rPr>
          <w:sz w:val="22"/>
          <w:szCs w:val="22"/>
          <w:lang w:bidi="ar-SA"/>
        </w:rPr>
        <w:tab/>
      </w:r>
      <w:r w:rsidRPr="00F575FF">
        <w:rPr>
          <w:sz w:val="22"/>
          <w:szCs w:val="22"/>
          <w:u w:val="single"/>
          <w:lang w:bidi="ar-SA"/>
        </w:rPr>
        <w:t>Joinder</w:t>
      </w:r>
      <w:r w:rsidRPr="00F575FF">
        <w:rPr>
          <w:sz w:val="22"/>
          <w:szCs w:val="22"/>
          <w:lang w:bidi="ar-SA"/>
        </w:rPr>
        <w:t xml:space="preserve">. In accordance with </w:t>
      </w:r>
      <w:r w:rsidR="00DC2442" w:rsidRPr="00F575FF">
        <w:rPr>
          <w:sz w:val="22"/>
          <w:szCs w:val="22"/>
          <w:lang w:bidi="ar-SA"/>
        </w:rPr>
        <w:t xml:space="preserve">Section </w:t>
      </w:r>
      <w:r w:rsidR="00BB53C3" w:rsidRPr="00F575FF">
        <w:rPr>
          <w:sz w:val="22"/>
          <w:szCs w:val="22"/>
          <w:lang w:bidi="ar-SA"/>
        </w:rPr>
        <w:t>4</w:t>
      </w:r>
      <w:r w:rsidR="001C3519" w:rsidRPr="00F575FF">
        <w:rPr>
          <w:sz w:val="22"/>
          <w:szCs w:val="22"/>
          <w:lang w:bidi="ar-SA"/>
        </w:rPr>
        <w:t>.</w:t>
      </w:r>
      <w:r w:rsidR="001E6C0F" w:rsidRPr="00F575FF">
        <w:rPr>
          <w:sz w:val="22"/>
          <w:szCs w:val="22"/>
          <w:lang w:bidi="ar-SA"/>
        </w:rPr>
        <w:t>5</w:t>
      </w:r>
      <w:r w:rsidRPr="00F575FF">
        <w:rPr>
          <w:sz w:val="22"/>
          <w:szCs w:val="22"/>
          <w:lang w:bidi="ar-SA"/>
        </w:rPr>
        <w:t xml:space="preserve"> of the Agreement, the New Party by its signature </w:t>
      </w:r>
      <w:r w:rsidR="00895DDB" w:rsidRPr="00F575FF">
        <w:rPr>
          <w:sz w:val="22"/>
          <w:szCs w:val="22"/>
          <w:lang w:bidi="ar-SA"/>
        </w:rPr>
        <w:t>to this Joinder Agreement</w:t>
      </w:r>
      <w:r w:rsidRPr="00F575FF">
        <w:rPr>
          <w:sz w:val="22"/>
          <w:szCs w:val="22"/>
          <w:lang w:bidi="ar-SA"/>
        </w:rPr>
        <w:t xml:space="preserve"> becomes a Party to the Agreement </w:t>
      </w:r>
      <w:r w:rsidR="00D90149" w:rsidRPr="00F575FF">
        <w:rPr>
          <w:sz w:val="22"/>
          <w:szCs w:val="22"/>
          <w:lang w:bidi="ar-SA"/>
        </w:rPr>
        <w:t xml:space="preserve">as a </w:t>
      </w:r>
      <w:r w:rsidR="00753B7C" w:rsidRPr="00F575FF">
        <w:rPr>
          <w:sz w:val="22"/>
          <w:szCs w:val="22"/>
          <w:lang w:bidi="ar-SA"/>
        </w:rPr>
        <w:t>[</w:t>
      </w:r>
      <w:r w:rsidR="00FE36E5" w:rsidRPr="00F575FF">
        <w:rPr>
          <w:sz w:val="22"/>
          <w:szCs w:val="22"/>
          <w:lang w:bidi="ar-SA"/>
        </w:rPr>
        <w:t>Covered Entity</w:t>
      </w:r>
      <w:r w:rsidR="00753B7C" w:rsidRPr="00F575FF">
        <w:rPr>
          <w:sz w:val="22"/>
          <w:szCs w:val="22"/>
          <w:lang w:bidi="ar-SA"/>
        </w:rPr>
        <w:t>] [Counterparty</w:t>
      </w:r>
      <w:r w:rsidR="00000E4A" w:rsidRPr="00F575FF">
        <w:rPr>
          <w:sz w:val="22"/>
          <w:szCs w:val="22"/>
          <w:lang w:bidi="ar-SA"/>
        </w:rPr>
        <w:t xml:space="preserve"> Entity</w:t>
      </w:r>
      <w:r w:rsidR="00753B7C" w:rsidRPr="00F575FF">
        <w:rPr>
          <w:sz w:val="22"/>
          <w:szCs w:val="22"/>
          <w:lang w:bidi="ar-SA"/>
        </w:rPr>
        <w:t>]</w:t>
      </w:r>
      <w:r w:rsidR="00D90149" w:rsidRPr="00F575FF">
        <w:rPr>
          <w:sz w:val="22"/>
          <w:szCs w:val="22"/>
          <w:lang w:bidi="ar-SA"/>
        </w:rPr>
        <w:t xml:space="preserve"> </w:t>
      </w:r>
      <w:r w:rsidRPr="00F575FF">
        <w:rPr>
          <w:sz w:val="22"/>
          <w:szCs w:val="22"/>
          <w:lang w:bidi="ar-SA"/>
        </w:rPr>
        <w:t>with the same force and effect as if originally named therein as a Party.</w:t>
      </w:r>
      <w:r w:rsidR="00ED7115" w:rsidRPr="00F575FF">
        <w:rPr>
          <w:sz w:val="22"/>
          <w:szCs w:val="22"/>
          <w:lang w:bidi="ar-SA"/>
        </w:rPr>
        <w:t xml:space="preserve"> The New Party hereby agrees to all the terms and provisions of the Agreement applicable to it as a [Covered Entity] [Counterparty Entity] thereunder.</w:t>
      </w:r>
    </w:p>
    <w:p w:rsidR="00543EA4" w:rsidRPr="00F575FF" w:rsidRDefault="005D11B0" w:rsidP="00082DC9">
      <w:pPr>
        <w:pStyle w:val="ListBullet"/>
        <w:numPr>
          <w:ilvl w:val="0"/>
          <w:numId w:val="0"/>
        </w:numPr>
        <w:ind w:firstLine="720"/>
        <w:rPr>
          <w:sz w:val="22"/>
          <w:szCs w:val="22"/>
          <w:lang w:bidi="ar-SA"/>
        </w:rPr>
      </w:pPr>
      <w:r w:rsidRPr="00F575FF">
        <w:rPr>
          <w:sz w:val="22"/>
          <w:szCs w:val="22"/>
          <w:lang w:bidi="ar-SA"/>
        </w:rPr>
        <w:t>2.</w:t>
      </w:r>
      <w:r w:rsidRPr="00F575FF">
        <w:rPr>
          <w:sz w:val="22"/>
          <w:szCs w:val="22"/>
          <w:lang w:bidi="ar-SA"/>
        </w:rPr>
        <w:tab/>
      </w:r>
      <w:r w:rsidRPr="00F575FF">
        <w:rPr>
          <w:sz w:val="22"/>
          <w:szCs w:val="22"/>
          <w:u w:val="single"/>
          <w:lang w:bidi="ar-SA"/>
        </w:rPr>
        <w:t>Representations and Warranties</w:t>
      </w:r>
      <w:r w:rsidR="00ED7115" w:rsidRPr="00F575FF">
        <w:rPr>
          <w:sz w:val="22"/>
          <w:szCs w:val="22"/>
          <w:lang w:bidi="ar-SA"/>
        </w:rPr>
        <w:t>. The New Party hereby</w:t>
      </w:r>
      <w:r w:rsidRPr="00F575FF">
        <w:rPr>
          <w:sz w:val="22"/>
          <w:szCs w:val="22"/>
          <w:lang w:bidi="ar-SA"/>
        </w:rPr>
        <w:t xml:space="preserve"> represents and warrants that </w:t>
      </w:r>
      <w:r w:rsidR="00ED7115" w:rsidRPr="00F575FF">
        <w:rPr>
          <w:sz w:val="22"/>
          <w:szCs w:val="22"/>
          <w:lang w:bidi="ar-SA"/>
        </w:rPr>
        <w:t xml:space="preserve">(a) </w:t>
      </w:r>
      <w:r w:rsidRPr="00F575FF">
        <w:rPr>
          <w:sz w:val="22"/>
          <w:szCs w:val="22"/>
          <w:lang w:bidi="ar-SA"/>
        </w:rPr>
        <w:t xml:space="preserve">the representations and warranties made by it as a Party </w:t>
      </w:r>
      <w:r w:rsidR="00895DDB" w:rsidRPr="00F575FF">
        <w:rPr>
          <w:sz w:val="22"/>
          <w:szCs w:val="22"/>
          <w:lang w:bidi="ar-SA"/>
        </w:rPr>
        <w:t>to the Agreement</w:t>
      </w:r>
      <w:r w:rsidRPr="00F575FF">
        <w:rPr>
          <w:sz w:val="22"/>
          <w:szCs w:val="22"/>
          <w:lang w:bidi="ar-SA"/>
        </w:rPr>
        <w:t xml:space="preserve"> are true and correct in all material respects on and as of the date hereof</w:t>
      </w:r>
      <w:r w:rsidR="00ED7115" w:rsidRPr="00F575FF">
        <w:rPr>
          <w:sz w:val="22"/>
          <w:szCs w:val="22"/>
          <w:lang w:bidi="ar-SA"/>
        </w:rPr>
        <w:t xml:space="preserve"> and (b) that [it is a BHCA Affiliate </w:t>
      </w:r>
      <w:r w:rsidR="00945F9A" w:rsidRPr="00F575FF">
        <w:rPr>
          <w:sz w:val="22"/>
          <w:szCs w:val="22"/>
          <w:lang w:bidi="ar-SA"/>
        </w:rPr>
        <w:t xml:space="preserve">of </w:t>
      </w:r>
      <w:r w:rsidR="00082DC9" w:rsidRPr="00F575FF">
        <w:rPr>
          <w:sz w:val="22"/>
          <w:szCs w:val="22"/>
          <w:lang w:bidi="ar-SA"/>
        </w:rPr>
        <w:t>a</w:t>
      </w:r>
      <w:r w:rsidR="00945F9A" w:rsidRPr="00F575FF">
        <w:rPr>
          <w:sz w:val="22"/>
          <w:szCs w:val="22"/>
          <w:lang w:bidi="ar-SA"/>
        </w:rPr>
        <w:t xml:space="preserve"> Covered Entity that is a Party to the Agreement] [it is a Consolidated Affiliate of </w:t>
      </w:r>
      <w:r w:rsidR="00082DC9" w:rsidRPr="00F575FF">
        <w:rPr>
          <w:sz w:val="22"/>
          <w:szCs w:val="22"/>
          <w:lang w:bidi="ar-SA"/>
        </w:rPr>
        <w:t>a</w:t>
      </w:r>
      <w:r w:rsidR="00945F9A" w:rsidRPr="00F575FF">
        <w:rPr>
          <w:sz w:val="22"/>
          <w:szCs w:val="22"/>
          <w:lang w:bidi="ar-SA"/>
        </w:rPr>
        <w:t xml:space="preserve"> Counterparty Entity that is a Party to the Agreement]</w:t>
      </w:r>
      <w:r w:rsidRPr="00F575FF">
        <w:rPr>
          <w:sz w:val="22"/>
          <w:szCs w:val="22"/>
          <w:lang w:bidi="ar-SA"/>
        </w:rPr>
        <w:t>. Each reference to a Party in the Agreement shall be deemed to include the New Party.</w:t>
      </w:r>
    </w:p>
    <w:p w:rsidR="00545ACF" w:rsidRPr="00F575FF" w:rsidRDefault="005D11B0" w:rsidP="00DC2442">
      <w:pPr>
        <w:pStyle w:val="ListBullet"/>
        <w:numPr>
          <w:ilvl w:val="0"/>
          <w:numId w:val="0"/>
        </w:numPr>
        <w:ind w:firstLine="720"/>
        <w:rPr>
          <w:sz w:val="22"/>
          <w:szCs w:val="22"/>
          <w:lang w:bidi="ar-SA"/>
        </w:rPr>
      </w:pPr>
      <w:r w:rsidRPr="00F575FF">
        <w:rPr>
          <w:sz w:val="22"/>
          <w:szCs w:val="22"/>
          <w:lang w:bidi="ar-SA"/>
        </w:rPr>
        <w:t>3.</w:t>
      </w:r>
      <w:r w:rsidRPr="00F575FF">
        <w:rPr>
          <w:sz w:val="22"/>
          <w:szCs w:val="22"/>
          <w:lang w:bidi="ar-SA"/>
        </w:rPr>
        <w:tab/>
      </w:r>
      <w:r w:rsidR="00F47947" w:rsidRPr="00F575FF">
        <w:rPr>
          <w:sz w:val="22"/>
          <w:szCs w:val="22"/>
          <w:u w:val="single"/>
          <w:lang w:bidi="ar-SA"/>
        </w:rPr>
        <w:t>Notice</w:t>
      </w:r>
      <w:r w:rsidRPr="00F575FF">
        <w:rPr>
          <w:sz w:val="22"/>
          <w:szCs w:val="22"/>
          <w:lang w:bidi="ar-SA"/>
        </w:rPr>
        <w:t xml:space="preserve">. </w:t>
      </w:r>
      <w:r w:rsidR="00F47947" w:rsidRPr="00F575FF">
        <w:rPr>
          <w:sz w:val="22"/>
          <w:szCs w:val="22"/>
          <w:lang w:bidi="ar-SA"/>
        </w:rPr>
        <w:t xml:space="preserve">All notices, requests and demands to or upon the New Party shall be governed by the terms of </w:t>
      </w:r>
      <w:r w:rsidR="00BB53C3" w:rsidRPr="00F575FF">
        <w:rPr>
          <w:sz w:val="22"/>
          <w:szCs w:val="22"/>
          <w:lang w:bidi="ar-SA"/>
        </w:rPr>
        <w:t>Section 4</w:t>
      </w:r>
      <w:r w:rsidR="00F47947" w:rsidRPr="00F575FF">
        <w:rPr>
          <w:sz w:val="22"/>
          <w:szCs w:val="22"/>
          <w:lang w:bidi="ar-SA"/>
        </w:rPr>
        <w:t>.</w:t>
      </w:r>
      <w:r w:rsidR="001E6C0F" w:rsidRPr="00F575FF">
        <w:rPr>
          <w:sz w:val="22"/>
          <w:szCs w:val="22"/>
          <w:lang w:bidi="ar-SA"/>
        </w:rPr>
        <w:t>7</w:t>
      </w:r>
      <w:r w:rsidR="00F47947" w:rsidRPr="00F575FF">
        <w:rPr>
          <w:sz w:val="22"/>
          <w:szCs w:val="22"/>
          <w:lang w:bidi="ar-SA"/>
        </w:rPr>
        <w:t xml:space="preserve"> of the Agreement.</w:t>
      </w:r>
    </w:p>
    <w:p w:rsidR="00AA57DA" w:rsidRPr="00F575FF" w:rsidRDefault="005D11B0" w:rsidP="00AA57DA">
      <w:pPr>
        <w:pStyle w:val="ListBullet"/>
        <w:numPr>
          <w:ilvl w:val="0"/>
          <w:numId w:val="0"/>
        </w:numPr>
        <w:ind w:firstLine="720"/>
        <w:rPr>
          <w:sz w:val="22"/>
          <w:szCs w:val="22"/>
        </w:rPr>
      </w:pPr>
      <w:r w:rsidRPr="00F575FF">
        <w:rPr>
          <w:sz w:val="22"/>
          <w:szCs w:val="22"/>
          <w:lang w:bidi="ar-SA"/>
        </w:rPr>
        <w:t>4.</w:t>
      </w:r>
      <w:r w:rsidRPr="00F575FF">
        <w:rPr>
          <w:sz w:val="22"/>
          <w:szCs w:val="22"/>
          <w:lang w:bidi="ar-SA"/>
        </w:rPr>
        <w:tab/>
      </w:r>
      <w:r w:rsidRPr="00F575FF">
        <w:rPr>
          <w:sz w:val="22"/>
          <w:szCs w:val="22"/>
          <w:u w:val="single"/>
          <w:lang w:bidi="ar-SA"/>
        </w:rPr>
        <w:t>Governing Law</w:t>
      </w:r>
      <w:r w:rsidRPr="00F575FF">
        <w:rPr>
          <w:sz w:val="22"/>
          <w:szCs w:val="22"/>
          <w:lang w:bidi="ar-SA"/>
        </w:rPr>
        <w:t xml:space="preserve">.  </w:t>
      </w:r>
      <w:r w:rsidRPr="00F575FF">
        <w:rPr>
          <w:sz w:val="22"/>
          <w:szCs w:val="22"/>
        </w:rPr>
        <w:t>This Joinder Ag</w:t>
      </w:r>
      <w:r w:rsidRPr="00F575FF">
        <w:rPr>
          <w:sz w:val="22"/>
          <w:szCs w:val="22"/>
        </w:rPr>
        <w:t>reement</w:t>
      </w:r>
      <w:r w:rsidR="00637CFC" w:rsidRPr="00F575FF">
        <w:rPr>
          <w:sz w:val="22"/>
          <w:szCs w:val="22"/>
        </w:rPr>
        <w:t xml:space="preserve"> will, as between the New Party and the [Covered Entity Group] [Counterparty Group] </w:t>
      </w:r>
      <w:r w:rsidRPr="00F575FF">
        <w:rPr>
          <w:sz w:val="22"/>
          <w:szCs w:val="22"/>
        </w:rPr>
        <w:t xml:space="preserve">and in respect of each Covered Agreement between </w:t>
      </w:r>
      <w:r w:rsidR="00637CFC" w:rsidRPr="00F575FF">
        <w:rPr>
          <w:sz w:val="22"/>
          <w:szCs w:val="22"/>
        </w:rPr>
        <w:t xml:space="preserve">them </w:t>
      </w:r>
      <w:r w:rsidRPr="00F575FF">
        <w:rPr>
          <w:sz w:val="22"/>
          <w:szCs w:val="22"/>
        </w:rPr>
        <w:t xml:space="preserve">or provided by one of them to the other, </w:t>
      </w:r>
      <w:r w:rsidR="00A429C4" w:rsidRPr="00F575FF">
        <w:rPr>
          <w:sz w:val="22"/>
          <w:szCs w:val="22"/>
        </w:rPr>
        <w:t xml:space="preserve">will </w:t>
      </w:r>
      <w:r w:rsidRPr="00F575FF">
        <w:rPr>
          <w:sz w:val="22"/>
          <w:szCs w:val="22"/>
        </w:rPr>
        <w:t xml:space="preserve">be governed by and construed in accordance with the laws of the State of New York, without reference to choice of law doctrine, </w:t>
      </w:r>
      <w:r w:rsidRPr="00F575FF">
        <w:rPr>
          <w:i/>
          <w:iCs/>
          <w:sz w:val="22"/>
          <w:szCs w:val="22"/>
        </w:rPr>
        <w:t>provided</w:t>
      </w:r>
      <w:r w:rsidRPr="00F575FF">
        <w:rPr>
          <w:sz w:val="22"/>
          <w:szCs w:val="22"/>
        </w:rPr>
        <w:t xml:space="preserve"> that the amendments to each </w:t>
      </w:r>
      <w:r w:rsidRPr="00F575FF">
        <w:rPr>
          <w:sz w:val="22"/>
          <w:szCs w:val="22"/>
        </w:rPr>
        <w:lastRenderedPageBreak/>
        <w:t>Covered Agreement shall be governed by and construed in accordance with the law specified t</w:t>
      </w:r>
      <w:r w:rsidRPr="00F575FF">
        <w:rPr>
          <w:sz w:val="22"/>
          <w:szCs w:val="22"/>
        </w:rPr>
        <w:t>o govern that Covered Agreement and otherwise in accordance with the applicable choice of law doctrine.</w:t>
      </w:r>
    </w:p>
    <w:p w:rsidR="00314260" w:rsidRPr="00F575FF" w:rsidRDefault="005D11B0" w:rsidP="00314260">
      <w:pPr>
        <w:pStyle w:val="ListBullet"/>
        <w:numPr>
          <w:ilvl w:val="0"/>
          <w:numId w:val="0"/>
        </w:numPr>
        <w:ind w:firstLine="720"/>
        <w:jc w:val="center"/>
        <w:rPr>
          <w:sz w:val="22"/>
          <w:szCs w:val="22"/>
        </w:rPr>
      </w:pPr>
      <w:r w:rsidRPr="00F575FF">
        <w:rPr>
          <w:sz w:val="22"/>
          <w:szCs w:val="22"/>
        </w:rPr>
        <w:t>*</w:t>
      </w:r>
      <w:r w:rsidRPr="00F575FF">
        <w:rPr>
          <w:sz w:val="22"/>
          <w:szCs w:val="22"/>
        </w:rPr>
        <w:tab/>
        <w:t>*</w:t>
      </w:r>
      <w:r w:rsidRPr="00F575FF">
        <w:rPr>
          <w:sz w:val="22"/>
          <w:szCs w:val="22"/>
        </w:rPr>
        <w:tab/>
        <w:t>*</w:t>
      </w:r>
    </w:p>
    <w:p w:rsidR="00D90149" w:rsidRPr="00F575FF" w:rsidRDefault="005D11B0" w:rsidP="005523CB">
      <w:pPr>
        <w:pStyle w:val="ListBullet"/>
        <w:numPr>
          <w:ilvl w:val="0"/>
          <w:numId w:val="0"/>
        </w:numPr>
        <w:ind w:firstLine="720"/>
        <w:rPr>
          <w:sz w:val="22"/>
          <w:szCs w:val="22"/>
        </w:rPr>
      </w:pPr>
      <w:r w:rsidRPr="00F575FF">
        <w:rPr>
          <w:sz w:val="22"/>
          <w:szCs w:val="22"/>
        </w:rPr>
        <w:t xml:space="preserve">IN WITNESS WHEREOF, the undersigned </w:t>
      </w:r>
      <w:r w:rsidR="005523CB" w:rsidRPr="00F575FF">
        <w:rPr>
          <w:sz w:val="22"/>
          <w:szCs w:val="22"/>
        </w:rPr>
        <w:t>has</w:t>
      </w:r>
      <w:r w:rsidRPr="00F575FF">
        <w:rPr>
          <w:sz w:val="22"/>
          <w:szCs w:val="22"/>
        </w:rPr>
        <w:t xml:space="preserve"> caused this Joinder Agreement to be duly executed and delivered by </w:t>
      </w:r>
      <w:r w:rsidR="005523CB" w:rsidRPr="00F575FF">
        <w:rPr>
          <w:sz w:val="22"/>
          <w:szCs w:val="22"/>
        </w:rPr>
        <w:t>it</w:t>
      </w:r>
      <w:r w:rsidR="00C76C8C" w:rsidRPr="00F575FF">
        <w:rPr>
          <w:sz w:val="22"/>
          <w:szCs w:val="22"/>
        </w:rPr>
        <w:t>s</w:t>
      </w:r>
      <w:r w:rsidRPr="00F575FF">
        <w:rPr>
          <w:sz w:val="22"/>
          <w:szCs w:val="22"/>
        </w:rPr>
        <w:t xml:space="preserve"> duly authorized</w:t>
      </w:r>
      <w:r w:rsidR="005523CB" w:rsidRPr="00F575FF">
        <w:rPr>
          <w:sz w:val="22"/>
          <w:szCs w:val="22"/>
        </w:rPr>
        <w:t xml:space="preserve"> representative</w:t>
      </w:r>
      <w:r w:rsidRPr="00F575FF">
        <w:rPr>
          <w:sz w:val="22"/>
          <w:szCs w:val="22"/>
        </w:rPr>
        <w:t xml:space="preserve"> as o</w:t>
      </w:r>
      <w:r w:rsidRPr="00F575FF">
        <w:rPr>
          <w:sz w:val="22"/>
          <w:szCs w:val="22"/>
        </w:rPr>
        <w:t>f the day and year first written above</w:t>
      </w:r>
      <w:r w:rsidR="0075228B" w:rsidRPr="00F575FF">
        <w:rPr>
          <w:sz w:val="22"/>
          <w:szCs w:val="22"/>
        </w:rPr>
        <w:t>.</w:t>
      </w:r>
    </w:p>
    <w:tbl>
      <w:tblPr>
        <w:tblStyle w:val="TableGrid"/>
        <w:tblW w:w="0" w:type="auto"/>
        <w:tblInd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88"/>
      </w:tblGrid>
      <w:tr w:rsidR="00002E85" w:rsidTr="00753B7C">
        <w:trPr>
          <w:trHeight w:val="1042"/>
        </w:trPr>
        <w:tc>
          <w:tcPr>
            <w:tcW w:w="4698" w:type="dxa"/>
            <w:gridSpan w:val="2"/>
            <w:tcBorders>
              <w:top w:val="nil"/>
              <w:left w:val="nil"/>
              <w:bottom w:val="nil"/>
              <w:right w:val="nil"/>
            </w:tcBorders>
          </w:tcPr>
          <w:p w:rsidR="0075228B" w:rsidRPr="00F575FF" w:rsidRDefault="005D11B0" w:rsidP="0075228B">
            <w:pPr>
              <w:pStyle w:val="Heading2"/>
              <w:numPr>
                <w:ilvl w:val="0"/>
                <w:numId w:val="0"/>
              </w:numPr>
              <w:rPr>
                <w:b/>
                <w:bCs w:val="0"/>
                <w:sz w:val="22"/>
                <w:szCs w:val="22"/>
                <w:lang w:bidi="ar-SA"/>
              </w:rPr>
            </w:pPr>
            <w:r w:rsidRPr="00F575FF">
              <w:rPr>
                <w:b/>
                <w:bCs w:val="0"/>
                <w:sz w:val="22"/>
                <w:szCs w:val="22"/>
                <w:lang w:bidi="ar-SA"/>
              </w:rPr>
              <w:t xml:space="preserve">[NEW </w:t>
            </w:r>
            <w:r w:rsidR="00FE36E5" w:rsidRPr="00F575FF">
              <w:rPr>
                <w:b/>
                <w:bCs w:val="0"/>
                <w:sz w:val="22"/>
                <w:szCs w:val="22"/>
                <w:lang w:bidi="ar-SA"/>
              </w:rPr>
              <w:t>COVERED</w:t>
            </w:r>
            <w:r w:rsidR="0071007A" w:rsidRPr="00F575FF">
              <w:rPr>
                <w:b/>
                <w:bCs w:val="0"/>
                <w:sz w:val="22"/>
                <w:szCs w:val="22"/>
                <w:lang w:bidi="ar-SA"/>
              </w:rPr>
              <w:t>/ COUNTERPARTY</w:t>
            </w:r>
            <w:r w:rsidR="00FE36E5" w:rsidRPr="00F575FF">
              <w:rPr>
                <w:b/>
                <w:bCs w:val="0"/>
                <w:sz w:val="22"/>
                <w:szCs w:val="22"/>
                <w:lang w:bidi="ar-SA"/>
              </w:rPr>
              <w:t xml:space="preserve"> ENTITY</w:t>
            </w:r>
            <w:r w:rsidRPr="00F575FF">
              <w:rPr>
                <w:b/>
                <w:bCs w:val="0"/>
                <w:sz w:val="22"/>
                <w:szCs w:val="22"/>
                <w:lang w:bidi="ar-SA"/>
              </w:rPr>
              <w:t>]</w:t>
            </w:r>
          </w:p>
        </w:tc>
      </w:tr>
      <w:tr w:rsidR="00002E85" w:rsidTr="00753B7C">
        <w:tc>
          <w:tcPr>
            <w:tcW w:w="810" w:type="dxa"/>
            <w:tcBorders>
              <w:top w:val="nil"/>
              <w:left w:val="nil"/>
              <w:bottom w:val="nil"/>
              <w:right w:val="nil"/>
            </w:tcBorders>
          </w:tcPr>
          <w:p w:rsidR="0075228B" w:rsidRPr="00F575FF" w:rsidRDefault="005D11B0" w:rsidP="00753B7C">
            <w:pPr>
              <w:pStyle w:val="Heading2"/>
              <w:numPr>
                <w:ilvl w:val="0"/>
                <w:numId w:val="0"/>
              </w:numPr>
              <w:spacing w:after="0"/>
              <w:rPr>
                <w:sz w:val="22"/>
                <w:szCs w:val="22"/>
                <w:lang w:bidi="ar-SA"/>
              </w:rPr>
            </w:pPr>
            <w:r w:rsidRPr="00F575FF">
              <w:rPr>
                <w:sz w:val="22"/>
                <w:szCs w:val="22"/>
                <w:lang w:bidi="ar-SA"/>
              </w:rPr>
              <w:t>By:</w:t>
            </w:r>
          </w:p>
        </w:tc>
        <w:tc>
          <w:tcPr>
            <w:tcW w:w="3888" w:type="dxa"/>
            <w:tcBorders>
              <w:top w:val="nil"/>
              <w:left w:val="nil"/>
              <w:bottom w:val="single" w:sz="4" w:space="0" w:color="auto"/>
              <w:right w:val="nil"/>
            </w:tcBorders>
          </w:tcPr>
          <w:p w:rsidR="0075228B" w:rsidRPr="00F575FF" w:rsidRDefault="005D11B0" w:rsidP="00753B7C">
            <w:pPr>
              <w:pStyle w:val="Heading2"/>
              <w:numPr>
                <w:ilvl w:val="0"/>
                <w:numId w:val="0"/>
              </w:numPr>
              <w:spacing w:after="0"/>
              <w:rPr>
                <w:i/>
                <w:iCs/>
                <w:sz w:val="22"/>
                <w:szCs w:val="22"/>
                <w:lang w:bidi="ar-SA"/>
              </w:rPr>
            </w:pPr>
            <w:r w:rsidRPr="00F575FF">
              <w:rPr>
                <w:i/>
                <w:iCs/>
                <w:sz w:val="22"/>
                <w:szCs w:val="22"/>
                <w:lang w:bidi="ar-SA"/>
              </w:rPr>
              <w:t>/S/</w:t>
            </w:r>
          </w:p>
        </w:tc>
      </w:tr>
      <w:tr w:rsidR="00002E85" w:rsidTr="00753B7C">
        <w:tc>
          <w:tcPr>
            <w:tcW w:w="810" w:type="dxa"/>
            <w:tcBorders>
              <w:top w:val="nil"/>
              <w:left w:val="nil"/>
              <w:bottom w:val="nil"/>
              <w:right w:val="nil"/>
            </w:tcBorders>
          </w:tcPr>
          <w:p w:rsidR="0075228B" w:rsidRPr="00F575FF" w:rsidRDefault="005D11B0" w:rsidP="00753B7C">
            <w:pPr>
              <w:pStyle w:val="Heading2"/>
              <w:numPr>
                <w:ilvl w:val="0"/>
                <w:numId w:val="0"/>
              </w:numPr>
              <w:spacing w:after="0"/>
              <w:rPr>
                <w:sz w:val="22"/>
                <w:szCs w:val="22"/>
                <w:lang w:bidi="ar-SA"/>
              </w:rPr>
            </w:pPr>
            <w:r w:rsidRPr="00F575FF">
              <w:rPr>
                <w:sz w:val="22"/>
                <w:szCs w:val="22"/>
                <w:lang w:bidi="ar-SA"/>
              </w:rPr>
              <w:t>Name:</w:t>
            </w:r>
          </w:p>
        </w:tc>
        <w:tc>
          <w:tcPr>
            <w:tcW w:w="3888" w:type="dxa"/>
            <w:tcBorders>
              <w:top w:val="nil"/>
              <w:left w:val="nil"/>
              <w:bottom w:val="nil"/>
              <w:right w:val="nil"/>
            </w:tcBorders>
          </w:tcPr>
          <w:p w:rsidR="0075228B" w:rsidRPr="00F575FF" w:rsidRDefault="0075228B" w:rsidP="00753B7C">
            <w:pPr>
              <w:pStyle w:val="Heading2"/>
              <w:numPr>
                <w:ilvl w:val="0"/>
                <w:numId w:val="0"/>
              </w:numPr>
              <w:spacing w:after="0"/>
              <w:rPr>
                <w:sz w:val="22"/>
                <w:szCs w:val="22"/>
                <w:lang w:bidi="ar-SA"/>
              </w:rPr>
            </w:pPr>
          </w:p>
        </w:tc>
      </w:tr>
      <w:tr w:rsidR="00002E85" w:rsidTr="00753B7C">
        <w:tc>
          <w:tcPr>
            <w:tcW w:w="810" w:type="dxa"/>
            <w:tcBorders>
              <w:top w:val="nil"/>
              <w:left w:val="nil"/>
              <w:bottom w:val="nil"/>
              <w:right w:val="nil"/>
            </w:tcBorders>
          </w:tcPr>
          <w:p w:rsidR="0075228B" w:rsidRPr="00F575FF" w:rsidRDefault="005D11B0" w:rsidP="00753B7C">
            <w:pPr>
              <w:pStyle w:val="Heading2"/>
              <w:numPr>
                <w:ilvl w:val="0"/>
                <w:numId w:val="0"/>
              </w:numPr>
              <w:spacing w:after="0"/>
              <w:rPr>
                <w:sz w:val="22"/>
                <w:szCs w:val="22"/>
                <w:lang w:bidi="ar-SA"/>
              </w:rPr>
            </w:pPr>
            <w:r w:rsidRPr="00F575FF">
              <w:rPr>
                <w:sz w:val="22"/>
                <w:szCs w:val="22"/>
                <w:lang w:bidi="ar-SA"/>
              </w:rPr>
              <w:t>Title:</w:t>
            </w:r>
          </w:p>
        </w:tc>
        <w:tc>
          <w:tcPr>
            <w:tcW w:w="3888" w:type="dxa"/>
            <w:tcBorders>
              <w:top w:val="nil"/>
              <w:left w:val="nil"/>
              <w:bottom w:val="nil"/>
              <w:right w:val="nil"/>
            </w:tcBorders>
          </w:tcPr>
          <w:p w:rsidR="0075228B" w:rsidRPr="00F575FF" w:rsidRDefault="0075228B" w:rsidP="00753B7C">
            <w:pPr>
              <w:pStyle w:val="Heading2"/>
              <w:numPr>
                <w:ilvl w:val="0"/>
                <w:numId w:val="0"/>
              </w:numPr>
              <w:spacing w:after="0"/>
              <w:rPr>
                <w:sz w:val="22"/>
                <w:szCs w:val="22"/>
                <w:lang w:bidi="ar-SA"/>
              </w:rPr>
            </w:pPr>
          </w:p>
        </w:tc>
      </w:tr>
    </w:tbl>
    <w:p w:rsidR="00D90149" w:rsidRPr="00F575FF" w:rsidRDefault="00D90149" w:rsidP="0075228B">
      <w:pPr>
        <w:pStyle w:val="ListBullet"/>
        <w:numPr>
          <w:ilvl w:val="0"/>
          <w:numId w:val="0"/>
        </w:numPr>
        <w:ind w:left="720" w:hanging="720"/>
        <w:rPr>
          <w:sz w:val="22"/>
          <w:szCs w:val="22"/>
        </w:rPr>
      </w:pPr>
    </w:p>
    <w:p w:rsidR="00D90149" w:rsidRPr="00F575FF" w:rsidRDefault="00D90149" w:rsidP="00135D81">
      <w:pPr>
        <w:pStyle w:val="ListBullet"/>
        <w:numPr>
          <w:ilvl w:val="0"/>
          <w:numId w:val="0"/>
        </w:numPr>
        <w:rPr>
          <w:sz w:val="22"/>
          <w:szCs w:val="22"/>
        </w:rPr>
      </w:pPr>
    </w:p>
    <w:sectPr w:rsidR="00D90149" w:rsidRPr="00F575FF" w:rsidSect="00DC2442">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2">
      <wne:acd wne:acdName="acd4"/>
    </wne:keymap>
    <wne:keymap wne:kcmPrimary="0443">
      <wne:acd wne:acdName="acd2"/>
    </wne:keymap>
    <wne:keymap wne:kcmPrimary="0456">
      <wne:acd wne:acdName="acd3"/>
    </wne:keymap>
    <wne:keymap wne:kcmPrimary="0458">
      <wne:acd wne:acdName="acd1"/>
    </wne:keymap>
    <wne:keymap wne:kcmPrimary="045A">
      <wne:acd wne:acdName="acd0"/>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11B0">
      <w:r>
        <w:separator/>
      </w:r>
    </w:p>
  </w:endnote>
  <w:endnote w:type="continuationSeparator" w:id="0">
    <w:p w:rsidR="00000000" w:rsidRDefault="005D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EA" w:rsidRDefault="006E5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EA" w:rsidRDefault="006E57EA" w:rsidP="00667755">
    <w:pPr>
      <w:pStyle w:val="Footer"/>
    </w:pPr>
  </w:p>
  <w:p w:rsidR="006E57EA" w:rsidRDefault="006E57EA" w:rsidP="00667755">
    <w:pPr>
      <w:pStyle w:val="Footer"/>
      <w:rPr>
        <w:rFonts w:cs="Times New Roman"/>
        <w:sz w:val="20"/>
      </w:rPr>
    </w:pPr>
    <w:r w:rsidRPr="00FB04D8">
      <w:rPr>
        <w:rFonts w:cs="Times New Roman"/>
        <w:sz w:val="20"/>
      </w:rPr>
      <w:t>Copyright © 2018 by International Swaps and Derivatives Association, Inc.</w:t>
    </w:r>
  </w:p>
  <w:p w:rsidR="006E57EA" w:rsidRDefault="006E57EA" w:rsidP="00667755">
    <w:pPr>
      <w:pStyle w:val="Footer"/>
    </w:pPr>
  </w:p>
  <w:p w:rsidR="006621E9" w:rsidRDefault="005D11B0" w:rsidP="00667755">
    <w:pPr>
      <w:pStyle w:val="Footer"/>
      <w:rPr>
        <w:noProof/>
      </w:rPr>
    </w:pPr>
    <w:sdt>
      <w:sdtPr>
        <w:id w:val="986968543"/>
        <w:docPartObj>
          <w:docPartGallery w:val="Page Numbers (Bottom of Page)"/>
          <w:docPartUnique/>
        </w:docPartObj>
      </w:sdtPr>
      <w:sdtEndPr>
        <w:rPr>
          <w:noProof/>
        </w:rPr>
      </w:sdtEndPr>
      <w:sdtContent>
        <w:r w:rsidR="00753B7C">
          <w:fldChar w:fldCharType="begin"/>
        </w:r>
        <w:r w:rsidR="00753B7C">
          <w:instrText xml:space="preserve"> PAGE   \* MERGEFORMAT </w:instrText>
        </w:r>
        <w:r w:rsidR="00753B7C">
          <w:fldChar w:fldCharType="separate"/>
        </w:r>
        <w:r>
          <w:rPr>
            <w:noProof/>
          </w:rPr>
          <w:t>2</w:t>
        </w:r>
        <w:r w:rsidR="00753B7C">
          <w:rPr>
            <w:noProof/>
          </w:rPr>
          <w:fldChar w:fldCharType="end"/>
        </w:r>
      </w:sdtContent>
    </w:sdt>
  </w:p>
  <w:p w:rsidR="00753B7C" w:rsidRPr="006621E9" w:rsidRDefault="00753B7C" w:rsidP="006621E9">
    <w:pPr>
      <w:rPr>
        <w:rFonts w:cs="Times New Roman"/>
        <w:noProof/>
        <w:sz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EA" w:rsidRDefault="006E57EA">
    <w:pPr>
      <w:pStyle w:val="Footer"/>
    </w:pPr>
  </w:p>
  <w:p w:rsidR="006E57EA" w:rsidRDefault="006E57EA">
    <w:pPr>
      <w:pStyle w:val="Footer"/>
      <w:rPr>
        <w:rFonts w:cs="Times New Roman"/>
        <w:sz w:val="20"/>
      </w:rPr>
    </w:pPr>
    <w:r w:rsidRPr="00FB04D8">
      <w:rPr>
        <w:rFonts w:cs="Times New Roman"/>
        <w:sz w:val="20"/>
      </w:rPr>
      <w:t>Copyright © 2018 by International Swaps and Derivatives Association, Inc.</w:t>
    </w:r>
  </w:p>
  <w:p w:rsidR="006E57EA" w:rsidRDefault="006E57EA">
    <w:pPr>
      <w:pStyle w:val="Footer"/>
    </w:pPr>
  </w:p>
  <w:p w:rsidR="006E57EA" w:rsidRDefault="006E57EA">
    <w:pPr>
      <w:pStyle w:val="Footer"/>
    </w:pPr>
    <w:sdt>
      <w:sdtPr>
        <w:id w:val="12116880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D11B0">
          <w:rPr>
            <w:noProof/>
          </w:rPr>
          <w:t>12</w:t>
        </w:r>
        <w:r>
          <w:rPr>
            <w:noProof/>
          </w:rPr>
          <w:fldChar w:fldCharType="end"/>
        </w:r>
      </w:sdtContent>
    </w:sdt>
  </w:p>
  <w:p w:rsidR="006E57EA" w:rsidRPr="006621E9" w:rsidRDefault="006E57EA" w:rsidP="006E57EA">
    <w:pPr>
      <w:jc w:val="center"/>
      <w:rPr>
        <w:rFonts w:cs="Times New Roman"/>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1CD" w:rsidRDefault="005D11B0" w:rsidP="00E02014">
      <w:r>
        <w:separator/>
      </w:r>
    </w:p>
  </w:footnote>
  <w:footnote w:type="continuationSeparator" w:id="0">
    <w:p w:rsidR="004B11CD" w:rsidRDefault="005D11B0" w:rsidP="00941CC2">
      <w:r>
        <w:separator/>
      </w:r>
    </w:p>
    <w:p w:rsidR="004B11CD" w:rsidRPr="00941CC2" w:rsidRDefault="005D11B0" w:rsidP="00941CC2">
      <w:pPr>
        <w:pStyle w:val="Footer"/>
        <w:jc w:val="right"/>
        <w:rPr>
          <w:sz w:val="20"/>
          <w:szCs w:val="20"/>
        </w:rPr>
      </w:pPr>
      <w:r>
        <w:rPr>
          <w:sz w:val="20"/>
          <w:szCs w:val="20"/>
        </w:rPr>
        <w:t>(continued….)</w:t>
      </w:r>
    </w:p>
  </w:footnote>
  <w:footnote w:type="continuationNotice" w:id="1">
    <w:p w:rsidR="004B11CD" w:rsidRPr="00941CC2" w:rsidRDefault="005D11B0">
      <w:pPr>
        <w:rPr>
          <w:sz w:val="20"/>
          <w:szCs w:val="20"/>
        </w:rPr>
      </w:pPr>
      <w:r>
        <w:rPr>
          <w:sz w:val="20"/>
          <w:szCs w:val="20"/>
        </w:rPr>
        <w:t>(….continued)</w:t>
      </w:r>
    </w:p>
  </w:footnote>
  <w:footnote w:id="2">
    <w:p w:rsidR="00753B7C" w:rsidRPr="00607847" w:rsidRDefault="005D11B0" w:rsidP="000D120E">
      <w:pPr>
        <w:pStyle w:val="FootnoteText"/>
      </w:pPr>
      <w:r>
        <w:rPr>
          <w:rStyle w:val="FootnoteReference"/>
        </w:rPr>
        <w:footnoteRef/>
      </w:r>
      <w:r>
        <w:t xml:space="preserve"> </w:t>
      </w:r>
      <w:r>
        <w:rPr>
          <w:b/>
          <w:bCs/>
          <w:u w:val="single"/>
        </w:rPr>
        <w:t>NTD</w:t>
      </w:r>
      <w:r>
        <w:t xml:space="preserve">: This </w:t>
      </w:r>
      <w:r w:rsidR="000D120E">
        <w:t>A</w:t>
      </w:r>
      <w:r>
        <w:t xml:space="preserve">greement is </w:t>
      </w:r>
      <w:r w:rsidR="00E77F1D">
        <w:t>drafted to</w:t>
      </w:r>
      <w:r w:rsidR="00A3562A">
        <w:t xml:space="preserve"> amend </w:t>
      </w:r>
      <w:r w:rsidR="00E77F1D">
        <w:t xml:space="preserve">all in-scope </w:t>
      </w:r>
      <w:r w:rsidR="00A3562A">
        <w:t xml:space="preserve">QFCs </w:t>
      </w:r>
      <w:r w:rsidR="00E77F1D">
        <w:t xml:space="preserve">(other than QFCs that benefit from an exemption under the </w:t>
      </w:r>
      <w:r w:rsidR="000D120E">
        <w:t>applicable provisions of the QFC Stay Ru</w:t>
      </w:r>
      <w:r w:rsidR="00E77F1D">
        <w:t xml:space="preserve">les) </w:t>
      </w:r>
      <w:r w:rsidR="00A3562A">
        <w:t xml:space="preserve">between members </w:t>
      </w:r>
      <w:r>
        <w:t xml:space="preserve">of the G-SIB group and members of the consolidated counterparty group. </w:t>
      </w:r>
      <w:r w:rsidR="00E77F1D">
        <w:t xml:space="preserve">If this agreement is to be used on an individual counterparty-by-counterparty basis (i.e., amending all in-scope QFCs between members of the G-SIB group and a particular entity within a Counterparty Group), rather than on a Counterparty Group-wide basis, conforming changes will be required. </w:t>
      </w:r>
      <w:r w:rsidR="00942D1A">
        <w:t xml:space="preserve">In addition, please note that this is a standard form agreement and that it can be customized as needed.  </w:t>
      </w:r>
      <w:r>
        <w:t>A different form is being prepared for use with investment managers and other agents acting on behalf of their clients.</w:t>
      </w:r>
      <w:r w:rsidR="00B211DD">
        <w:t xml:space="preserve"> This form of agreement is not intended to amend QFCs </w:t>
      </w:r>
      <w:r w:rsidR="00E77F1D">
        <w:t>between two</w:t>
      </w:r>
      <w:r w:rsidR="00B211DD">
        <w:t xml:space="preserve"> G-SIB groups.</w:t>
      </w:r>
    </w:p>
  </w:footnote>
  <w:footnote w:id="3">
    <w:p w:rsidR="00C94C04" w:rsidRPr="009F59F7" w:rsidRDefault="005D11B0" w:rsidP="007173F1">
      <w:pPr>
        <w:pStyle w:val="FootnoteText"/>
      </w:pPr>
      <w:r>
        <w:rPr>
          <w:rStyle w:val="FootnoteReference"/>
        </w:rPr>
        <w:footnoteRef/>
      </w:r>
      <w:r>
        <w:t xml:space="preserve"> </w:t>
      </w:r>
      <w:r>
        <w:rPr>
          <w:b/>
          <w:bCs/>
          <w:u w:val="single"/>
        </w:rPr>
        <w:t>NTD:</w:t>
      </w:r>
      <w:r>
        <w:t xml:space="preserve"> Consider whether one entity of the G-SIB Group will be signing the Agreement on behalf of all of its </w:t>
      </w:r>
      <w:r w:rsidR="007173F1">
        <w:t>affiliates</w:t>
      </w:r>
      <w:r>
        <w:t xml:space="preserve"> or whether each </w:t>
      </w:r>
      <w:r w:rsidR="007173F1">
        <w:t xml:space="preserve">affiliate </w:t>
      </w:r>
      <w:r>
        <w:t xml:space="preserve">of the G-SIB Group </w:t>
      </w:r>
      <w:r w:rsidR="009D7AF5">
        <w:t xml:space="preserve">will </w:t>
      </w:r>
      <w:r>
        <w:t>sign the Agreement separately.</w:t>
      </w:r>
    </w:p>
  </w:footnote>
  <w:footnote w:id="4">
    <w:p w:rsidR="00F06EAA" w:rsidRPr="00F7164B" w:rsidRDefault="005D11B0" w:rsidP="00F06EAA">
      <w:pPr>
        <w:pStyle w:val="FootnoteText"/>
      </w:pPr>
      <w:r>
        <w:rPr>
          <w:rStyle w:val="FootnoteReference"/>
        </w:rPr>
        <w:footnoteRef/>
      </w:r>
      <w:r>
        <w:t xml:space="preserve"> </w:t>
      </w:r>
      <w:r>
        <w:rPr>
          <w:b/>
          <w:bCs/>
          <w:u w:val="single"/>
        </w:rPr>
        <w:t>NTD</w:t>
      </w:r>
      <w:r>
        <w:t xml:space="preserve">: This defined term could be customized to reflect the </w:t>
      </w:r>
      <w:r>
        <w:t>name of the G-SIB group, if desired.</w:t>
      </w:r>
    </w:p>
  </w:footnote>
  <w:footnote w:id="5">
    <w:p w:rsidR="00753B7C" w:rsidRPr="00F7164B" w:rsidRDefault="005D11B0" w:rsidP="000D120E">
      <w:pPr>
        <w:pStyle w:val="FootnoteText"/>
      </w:pPr>
      <w:r>
        <w:rPr>
          <w:rStyle w:val="FootnoteReference"/>
        </w:rPr>
        <w:footnoteRef/>
      </w:r>
      <w:r>
        <w:t xml:space="preserve"> </w:t>
      </w:r>
      <w:r>
        <w:rPr>
          <w:b/>
          <w:bCs/>
          <w:u w:val="single"/>
        </w:rPr>
        <w:t>NTD</w:t>
      </w:r>
      <w:r>
        <w:t>: This defined term could be customized to reflect the name of the counterparty group, if desired.</w:t>
      </w:r>
    </w:p>
  </w:footnote>
  <w:footnote w:id="6">
    <w:p w:rsidR="005B512D" w:rsidRDefault="005D11B0">
      <w:pPr>
        <w:pStyle w:val="FootnoteText"/>
      </w:pPr>
      <w:r>
        <w:rPr>
          <w:rStyle w:val="FootnoteReference"/>
        </w:rPr>
        <w:footnoteRef/>
      </w:r>
      <w:r>
        <w:t xml:space="preserve"> </w:t>
      </w:r>
      <w:r>
        <w:rPr>
          <w:i/>
          <w:iCs/>
        </w:rPr>
        <w:t>See</w:t>
      </w:r>
      <w:r>
        <w:t xml:space="preserve"> 12 C.F.R. 47.5(i); 12 C.F.R. 252.84(i); 12 C.F.R. 382.4(i).</w:t>
      </w:r>
    </w:p>
  </w:footnote>
  <w:footnote w:id="7">
    <w:p w:rsidR="00CA5EA8" w:rsidRPr="00CA5EA8" w:rsidRDefault="005D11B0" w:rsidP="007173F1">
      <w:pPr>
        <w:pStyle w:val="FootnoteText"/>
      </w:pPr>
      <w:r>
        <w:rPr>
          <w:rStyle w:val="FootnoteReference"/>
        </w:rPr>
        <w:footnoteRef/>
      </w:r>
      <w:r>
        <w:t xml:space="preserve"> </w:t>
      </w:r>
      <w:r>
        <w:rPr>
          <w:b/>
          <w:bCs/>
          <w:u w:val="single"/>
        </w:rPr>
        <w:t>NTD</w:t>
      </w:r>
      <w:r w:rsidRPr="000555D9">
        <w:t>:</w:t>
      </w:r>
      <w:r>
        <w:t xml:space="preserve"> </w:t>
      </w:r>
      <w:r w:rsidR="00051503">
        <w:t>Omit</w:t>
      </w:r>
      <w:r>
        <w:t xml:space="preserve"> if each G-SIB </w:t>
      </w:r>
      <w:r w:rsidR="007173F1">
        <w:t xml:space="preserve">affiliate </w:t>
      </w:r>
      <w:r w:rsidR="005A31A8">
        <w:t xml:space="preserve">will </w:t>
      </w:r>
      <w:r w:rsidR="00650EDE">
        <w:t xml:space="preserve">sign </w:t>
      </w:r>
      <w:r>
        <w:t>thi</w:t>
      </w:r>
      <w:r>
        <w:t>s Agreement</w:t>
      </w:r>
      <w:r w:rsidR="00650EDE">
        <w:t xml:space="preserve"> on its own behalf</w:t>
      </w:r>
      <w:r>
        <w:t xml:space="preserve">.  </w:t>
      </w:r>
    </w:p>
  </w:footnote>
  <w:footnote w:id="8">
    <w:p w:rsidR="00F161C2" w:rsidRPr="00F161C2" w:rsidRDefault="005D11B0" w:rsidP="00B21770">
      <w:pPr>
        <w:pStyle w:val="FootnoteText"/>
      </w:pPr>
      <w:r>
        <w:rPr>
          <w:rStyle w:val="FootnoteReference"/>
        </w:rPr>
        <w:footnoteRef/>
      </w:r>
      <w:r>
        <w:t xml:space="preserve"> </w:t>
      </w:r>
      <w:r>
        <w:rPr>
          <w:b/>
          <w:bCs/>
          <w:u w:val="single"/>
        </w:rPr>
        <w:t>NTD</w:t>
      </w:r>
      <w:r>
        <w:t xml:space="preserve">: Include if </w:t>
      </w:r>
      <w:r w:rsidR="00B21770">
        <w:t>a</w:t>
      </w:r>
      <w:r>
        <w:t xml:space="preserve"> G-SIB </w:t>
      </w:r>
      <w:r w:rsidR="00B21770">
        <w:t>entity</w:t>
      </w:r>
      <w:r>
        <w:t xml:space="preserve"> will sign this Agreement on behalf of its </w:t>
      </w:r>
      <w:r w:rsidR="004D23A6">
        <w:t>affiliates</w:t>
      </w:r>
      <w:r>
        <w:t>.</w:t>
      </w:r>
    </w:p>
  </w:footnote>
  <w:footnote w:id="9">
    <w:p w:rsidR="00753B7C" w:rsidRPr="00585860" w:rsidRDefault="005D11B0" w:rsidP="000D497F">
      <w:pPr>
        <w:pStyle w:val="FootnoteText"/>
      </w:pPr>
      <w:r>
        <w:rPr>
          <w:rStyle w:val="FootnoteReference"/>
        </w:rPr>
        <w:footnoteRef/>
      </w:r>
      <w:r>
        <w:t xml:space="preserve"> </w:t>
      </w:r>
      <w:r>
        <w:rPr>
          <w:b/>
          <w:bCs/>
          <w:u w:val="single"/>
        </w:rPr>
        <w:t>NTD</w:t>
      </w:r>
      <w:r>
        <w:t>: This contemplates a centralized notice address.</w:t>
      </w:r>
    </w:p>
  </w:footnote>
  <w:footnote w:id="10">
    <w:p w:rsidR="00CA5EA8" w:rsidRPr="00CA5EA8" w:rsidRDefault="005D11B0" w:rsidP="007173F1">
      <w:pPr>
        <w:pStyle w:val="FootnoteText"/>
      </w:pPr>
      <w:r>
        <w:rPr>
          <w:rStyle w:val="FootnoteReference"/>
        </w:rPr>
        <w:footnoteRef/>
      </w:r>
      <w:r>
        <w:t xml:space="preserve"> </w:t>
      </w:r>
      <w:r>
        <w:rPr>
          <w:b/>
          <w:bCs/>
          <w:u w:val="single"/>
        </w:rPr>
        <w:t>NTD</w:t>
      </w:r>
      <w:r w:rsidRPr="000555D9">
        <w:t>:</w:t>
      </w:r>
      <w:r>
        <w:t xml:space="preserve"> Delete the bracketed language if each G-SIB </w:t>
      </w:r>
      <w:r w:rsidR="007173F1">
        <w:t>affiliate</w:t>
      </w:r>
      <w:r>
        <w:t xml:space="preserve"> will </w:t>
      </w:r>
      <w:r w:rsidR="00B82B3F">
        <w:t>sign</w:t>
      </w:r>
      <w:r>
        <w:t xml:space="preserve"> this Agree</w:t>
      </w:r>
      <w:r>
        <w:t>ment</w:t>
      </w:r>
      <w:r w:rsidR="00B82B3F">
        <w:t xml:space="preserve"> on its own behalf. </w:t>
      </w:r>
    </w:p>
  </w:footnote>
  <w:footnote w:id="11">
    <w:p w:rsidR="00B82B3F" w:rsidRDefault="005D11B0" w:rsidP="00B82B3F">
      <w:pPr>
        <w:pStyle w:val="FootnoteText"/>
      </w:pPr>
      <w:r>
        <w:rPr>
          <w:rStyle w:val="FootnoteReference"/>
        </w:rPr>
        <w:footnoteRef/>
      </w:r>
      <w:r>
        <w:t xml:space="preserve"> </w:t>
      </w:r>
      <w:r w:rsidRPr="00B82B3F">
        <w:rPr>
          <w:b/>
          <w:bCs/>
          <w:u w:val="single"/>
        </w:rPr>
        <w:t>NTD:</w:t>
      </w:r>
      <w:r>
        <w:t xml:space="preserve"> Delete if one member of the G-SIB group will sign as agent for all.</w:t>
      </w:r>
    </w:p>
  </w:footnote>
  <w:footnote w:id="12">
    <w:p w:rsidR="00906708" w:rsidRPr="009F59F7" w:rsidRDefault="005D11B0" w:rsidP="00906708">
      <w:pPr>
        <w:pStyle w:val="FootnoteText"/>
      </w:pPr>
      <w:r>
        <w:rPr>
          <w:rStyle w:val="FootnoteReference"/>
        </w:rPr>
        <w:footnoteRef/>
      </w:r>
      <w:r>
        <w:t xml:space="preserve"> </w:t>
      </w:r>
      <w:r>
        <w:rPr>
          <w:b/>
          <w:bCs/>
          <w:u w:val="single"/>
        </w:rPr>
        <w:t>NTD</w:t>
      </w:r>
      <w:r w:rsidRPr="000555D9">
        <w:t>:</w:t>
      </w:r>
      <w:r>
        <w:t xml:space="preserve"> This Schedule should not be included if each G-SIB affiliate will be a separate signatory to this Agreement.  </w:t>
      </w:r>
    </w:p>
  </w:footnote>
  <w:footnote w:id="13">
    <w:p w:rsidR="00C76C8C" w:rsidRPr="00C76C8C" w:rsidRDefault="005D11B0" w:rsidP="00C76C8C">
      <w:pPr>
        <w:pStyle w:val="FootnoteText"/>
      </w:pPr>
      <w:r>
        <w:rPr>
          <w:rStyle w:val="FootnoteReference"/>
        </w:rPr>
        <w:footnoteRef/>
      </w:r>
      <w:r>
        <w:t xml:space="preserve"> </w:t>
      </w:r>
      <w:r>
        <w:rPr>
          <w:b/>
          <w:bCs/>
          <w:u w:val="single"/>
        </w:rPr>
        <w:t>NTD</w:t>
      </w:r>
      <w:r>
        <w:t xml:space="preserve">: Customize depending on whether </w:t>
      </w:r>
      <w:r>
        <w:t>the Agreement will be signed by one member of the G-SIB group as agent for the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EA" w:rsidRDefault="006E5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EA" w:rsidRDefault="005D11B0">
    <w:pPr>
      <w:pStyle w:val="Header"/>
    </w:pPr>
    <w:r w:rsidRPr="003E328E">
      <w:rPr>
        <w:noProof/>
      </w:rPr>
      <w:drawing>
        <wp:inline distT="0" distB="0" distL="0" distR="0" wp14:anchorId="0DC83929" wp14:editId="5545843A">
          <wp:extent cx="1719203" cy="427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9203" cy="427640"/>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B0" w:rsidRDefault="005D11B0" w:rsidP="005D11B0">
    <w:pPr>
      <w:pStyle w:val="HeaderNote"/>
      <w:jc w:val="left"/>
    </w:pPr>
    <w:r w:rsidRPr="003E328E">
      <w:rPr>
        <w:noProof/>
      </w:rPr>
      <w:drawing>
        <wp:inline distT="0" distB="0" distL="0" distR="0" wp14:anchorId="0DC83929" wp14:editId="5545843A">
          <wp:extent cx="1719203" cy="427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9203" cy="427640"/>
                  </a:xfrm>
                  <a:prstGeom prst="rect">
                    <a:avLst/>
                  </a:prstGeom>
                  <a:noFill/>
                  <a:ln>
                    <a:noFill/>
                  </a:ln>
                  <a:extLst>
                    <a:ext uri="{53640926-AAD7-44D8-BBD7-CCE9431645EC}">
                      <a14:shadowObscured xmlns:a14="http://schemas.microsoft.com/office/drawing/2010/main"/>
                    </a:ext>
                  </a:extLst>
                </pic:spPr>
              </pic:pic>
            </a:graphicData>
          </a:graphic>
        </wp:inline>
      </w:drawing>
    </w:r>
  </w:p>
  <w:p w:rsidR="009D476B" w:rsidRDefault="005D11B0" w:rsidP="009D476B">
    <w:pPr>
      <w:pStyle w:val="HeaderNote"/>
    </w:pPr>
    <w:r>
      <w:t>Full-Length Omnibus</w:t>
    </w:r>
  </w:p>
  <w:p w:rsidR="009D476B" w:rsidRDefault="005D11B0" w:rsidP="009D476B">
    <w:pPr>
      <w:pStyle w:val="HeaderNote"/>
    </w:pPr>
    <w:r>
      <w:t>(</w:t>
    </w:r>
    <w:r w:rsidR="00AB23A7">
      <w:t>For Use</w:t>
    </w:r>
    <w:r w:rsidR="00DF2F95" w:rsidRPr="00DF2F95">
      <w:t xml:space="preserve"> </w:t>
    </w:r>
    <w:r w:rsidR="00DF2F95">
      <w:t>Between</w:t>
    </w:r>
    <w:r>
      <w:t xml:space="preserve"> </w:t>
    </w:r>
    <w:r w:rsidR="00DF2F95">
      <w:t xml:space="preserve">U.S. G-SIBs </w:t>
    </w:r>
  </w:p>
  <w:p w:rsidR="00753B7C" w:rsidRDefault="005D11B0" w:rsidP="006621E9">
    <w:pPr>
      <w:pStyle w:val="HeaderNote"/>
    </w:pPr>
    <w:r>
      <w:t xml:space="preserve">and </w:t>
    </w:r>
    <w:r w:rsidR="00AB23A7">
      <w:t>Corporate Groups</w:t>
    </w:r>
    <w:r w:rsidR="009D476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F86F1A8"/>
    <w:lvl w:ilvl="0">
      <w:start w:val="1"/>
      <w:numFmt w:val="bullet"/>
      <w:pStyle w:val="ListBullet3"/>
      <w:lvlText w:val=""/>
      <w:lvlJc w:val="left"/>
      <w:pPr>
        <w:tabs>
          <w:tab w:val="num" w:pos="2160"/>
        </w:tabs>
        <w:ind w:left="2160" w:hanging="720"/>
      </w:pPr>
      <w:rPr>
        <w:rFonts w:ascii="Symbol" w:hAnsi="Symbol" w:hint="default"/>
      </w:rPr>
    </w:lvl>
  </w:abstractNum>
  <w:abstractNum w:abstractNumId="1" w15:restartNumberingAfterBreak="0">
    <w:nsid w:val="FFFFFF83"/>
    <w:multiLevelType w:val="singleLevel"/>
    <w:tmpl w:val="96B2BD54"/>
    <w:lvl w:ilvl="0">
      <w:start w:val="1"/>
      <w:numFmt w:val="bullet"/>
      <w:pStyle w:val="ListBullet2"/>
      <w:lvlText w:val=""/>
      <w:lvlJc w:val="left"/>
      <w:pPr>
        <w:tabs>
          <w:tab w:val="num" w:pos="1440"/>
        </w:tabs>
        <w:ind w:left="1440" w:hanging="720"/>
      </w:pPr>
      <w:rPr>
        <w:rFonts w:ascii="Symbol" w:hAnsi="Symbol" w:hint="default"/>
      </w:rPr>
    </w:lvl>
  </w:abstractNum>
  <w:abstractNum w:abstractNumId="2" w15:restartNumberingAfterBreak="0">
    <w:nsid w:val="FFFFFF89"/>
    <w:multiLevelType w:val="singleLevel"/>
    <w:tmpl w:val="C6C071D2"/>
    <w:lvl w:ilvl="0">
      <w:start w:val="1"/>
      <w:numFmt w:val="bullet"/>
      <w:pStyle w:val="ListBullet"/>
      <w:lvlText w:val=""/>
      <w:lvlJc w:val="left"/>
      <w:pPr>
        <w:tabs>
          <w:tab w:val="num" w:pos="720"/>
        </w:tabs>
        <w:ind w:left="720" w:hanging="720"/>
      </w:pPr>
      <w:rPr>
        <w:rFonts w:ascii="Symbol" w:hAnsi="Symbol" w:hint="default"/>
      </w:rPr>
    </w:lvl>
  </w:abstractNum>
  <w:abstractNum w:abstractNumId="3" w15:restartNumberingAfterBreak="0">
    <w:nsid w:val="01EF60C9"/>
    <w:multiLevelType w:val="hybridMultilevel"/>
    <w:tmpl w:val="6F1ACC12"/>
    <w:lvl w:ilvl="0" w:tplc="36548BCA">
      <w:start w:val="1"/>
      <w:numFmt w:val="decimal"/>
      <w:lvlText w:val="%1."/>
      <w:lvlJc w:val="left"/>
      <w:pPr>
        <w:ind w:left="1440" w:hanging="360"/>
      </w:pPr>
    </w:lvl>
    <w:lvl w:ilvl="1" w:tplc="4426E8F8" w:tentative="1">
      <w:start w:val="1"/>
      <w:numFmt w:val="lowerLetter"/>
      <w:lvlText w:val="%2."/>
      <w:lvlJc w:val="left"/>
      <w:pPr>
        <w:ind w:left="2160" w:hanging="360"/>
      </w:pPr>
    </w:lvl>
    <w:lvl w:ilvl="2" w:tplc="05BEB330" w:tentative="1">
      <w:start w:val="1"/>
      <w:numFmt w:val="lowerRoman"/>
      <w:lvlText w:val="%3."/>
      <w:lvlJc w:val="right"/>
      <w:pPr>
        <w:ind w:left="2880" w:hanging="180"/>
      </w:pPr>
    </w:lvl>
    <w:lvl w:ilvl="3" w:tplc="B35083D6" w:tentative="1">
      <w:start w:val="1"/>
      <w:numFmt w:val="decimal"/>
      <w:lvlText w:val="%4."/>
      <w:lvlJc w:val="left"/>
      <w:pPr>
        <w:ind w:left="3600" w:hanging="360"/>
      </w:pPr>
    </w:lvl>
    <w:lvl w:ilvl="4" w:tplc="172089AC" w:tentative="1">
      <w:start w:val="1"/>
      <w:numFmt w:val="lowerLetter"/>
      <w:lvlText w:val="%5."/>
      <w:lvlJc w:val="left"/>
      <w:pPr>
        <w:ind w:left="4320" w:hanging="360"/>
      </w:pPr>
    </w:lvl>
    <w:lvl w:ilvl="5" w:tplc="10B8B078" w:tentative="1">
      <w:start w:val="1"/>
      <w:numFmt w:val="lowerRoman"/>
      <w:lvlText w:val="%6."/>
      <w:lvlJc w:val="right"/>
      <w:pPr>
        <w:ind w:left="5040" w:hanging="180"/>
      </w:pPr>
    </w:lvl>
    <w:lvl w:ilvl="6" w:tplc="5978E772" w:tentative="1">
      <w:start w:val="1"/>
      <w:numFmt w:val="decimal"/>
      <w:lvlText w:val="%7."/>
      <w:lvlJc w:val="left"/>
      <w:pPr>
        <w:ind w:left="5760" w:hanging="360"/>
      </w:pPr>
    </w:lvl>
    <w:lvl w:ilvl="7" w:tplc="ADDE9330" w:tentative="1">
      <w:start w:val="1"/>
      <w:numFmt w:val="lowerLetter"/>
      <w:lvlText w:val="%8."/>
      <w:lvlJc w:val="left"/>
      <w:pPr>
        <w:ind w:left="6480" w:hanging="360"/>
      </w:pPr>
    </w:lvl>
    <w:lvl w:ilvl="8" w:tplc="14042446" w:tentative="1">
      <w:start w:val="1"/>
      <w:numFmt w:val="lowerRoman"/>
      <w:lvlText w:val="%9."/>
      <w:lvlJc w:val="right"/>
      <w:pPr>
        <w:ind w:left="7200" w:hanging="180"/>
      </w:pPr>
    </w:lvl>
  </w:abstractNum>
  <w:abstractNum w:abstractNumId="4" w15:restartNumberingAfterBreak="0">
    <w:nsid w:val="09F0001A"/>
    <w:multiLevelType w:val="hybridMultilevel"/>
    <w:tmpl w:val="13AE6E1A"/>
    <w:name w:val="Heading322"/>
    <w:lvl w:ilvl="0" w:tplc="51883EC6">
      <w:start w:val="1"/>
      <w:numFmt w:val="decimal"/>
      <w:lvlText w:val="%1."/>
      <w:lvlJc w:val="left"/>
      <w:pPr>
        <w:ind w:left="720" w:hanging="360"/>
      </w:pPr>
    </w:lvl>
    <w:lvl w:ilvl="1" w:tplc="C630CA44" w:tentative="1">
      <w:start w:val="1"/>
      <w:numFmt w:val="lowerLetter"/>
      <w:lvlText w:val="%2."/>
      <w:lvlJc w:val="left"/>
      <w:pPr>
        <w:ind w:left="1440" w:hanging="360"/>
      </w:pPr>
    </w:lvl>
    <w:lvl w:ilvl="2" w:tplc="35788B6C" w:tentative="1">
      <w:start w:val="1"/>
      <w:numFmt w:val="lowerRoman"/>
      <w:lvlText w:val="%3."/>
      <w:lvlJc w:val="right"/>
      <w:pPr>
        <w:ind w:left="2160" w:hanging="180"/>
      </w:pPr>
    </w:lvl>
    <w:lvl w:ilvl="3" w:tplc="35DCBC06" w:tentative="1">
      <w:start w:val="1"/>
      <w:numFmt w:val="decimal"/>
      <w:lvlText w:val="%4."/>
      <w:lvlJc w:val="left"/>
      <w:pPr>
        <w:ind w:left="2880" w:hanging="360"/>
      </w:pPr>
    </w:lvl>
    <w:lvl w:ilvl="4" w:tplc="A1662F68" w:tentative="1">
      <w:start w:val="1"/>
      <w:numFmt w:val="lowerLetter"/>
      <w:lvlText w:val="%5."/>
      <w:lvlJc w:val="left"/>
      <w:pPr>
        <w:ind w:left="3600" w:hanging="360"/>
      </w:pPr>
    </w:lvl>
    <w:lvl w:ilvl="5" w:tplc="31FAB0B8" w:tentative="1">
      <w:start w:val="1"/>
      <w:numFmt w:val="lowerRoman"/>
      <w:lvlText w:val="%6."/>
      <w:lvlJc w:val="right"/>
      <w:pPr>
        <w:ind w:left="4320" w:hanging="180"/>
      </w:pPr>
    </w:lvl>
    <w:lvl w:ilvl="6" w:tplc="F7C4B572" w:tentative="1">
      <w:start w:val="1"/>
      <w:numFmt w:val="decimal"/>
      <w:lvlText w:val="%7."/>
      <w:lvlJc w:val="left"/>
      <w:pPr>
        <w:ind w:left="5040" w:hanging="360"/>
      </w:pPr>
    </w:lvl>
    <w:lvl w:ilvl="7" w:tplc="7E60C3F6" w:tentative="1">
      <w:start w:val="1"/>
      <w:numFmt w:val="lowerLetter"/>
      <w:lvlText w:val="%8."/>
      <w:lvlJc w:val="left"/>
      <w:pPr>
        <w:ind w:left="5760" w:hanging="360"/>
      </w:pPr>
    </w:lvl>
    <w:lvl w:ilvl="8" w:tplc="45680174" w:tentative="1">
      <w:start w:val="1"/>
      <w:numFmt w:val="lowerRoman"/>
      <w:lvlText w:val="%9."/>
      <w:lvlJc w:val="right"/>
      <w:pPr>
        <w:ind w:left="6480" w:hanging="180"/>
      </w:pPr>
    </w:lvl>
  </w:abstractNum>
  <w:abstractNum w:abstractNumId="5" w15:restartNumberingAfterBreak="0">
    <w:nsid w:val="1689495B"/>
    <w:multiLevelType w:val="hybridMultilevel"/>
    <w:tmpl w:val="AC5CCB36"/>
    <w:lvl w:ilvl="0" w:tplc="70D2A28C">
      <w:start w:val="1"/>
      <w:numFmt w:val="decimal"/>
      <w:lvlText w:val="%1."/>
      <w:lvlJc w:val="left"/>
      <w:pPr>
        <w:ind w:left="720" w:hanging="360"/>
      </w:pPr>
    </w:lvl>
    <w:lvl w:ilvl="1" w:tplc="4DEEF81A" w:tentative="1">
      <w:start w:val="1"/>
      <w:numFmt w:val="lowerLetter"/>
      <w:lvlText w:val="%2."/>
      <w:lvlJc w:val="left"/>
      <w:pPr>
        <w:ind w:left="1440" w:hanging="360"/>
      </w:pPr>
    </w:lvl>
    <w:lvl w:ilvl="2" w:tplc="B57E4432" w:tentative="1">
      <w:start w:val="1"/>
      <w:numFmt w:val="lowerRoman"/>
      <w:lvlText w:val="%3."/>
      <w:lvlJc w:val="right"/>
      <w:pPr>
        <w:ind w:left="2160" w:hanging="180"/>
      </w:pPr>
    </w:lvl>
    <w:lvl w:ilvl="3" w:tplc="8C3A1432" w:tentative="1">
      <w:start w:val="1"/>
      <w:numFmt w:val="decimal"/>
      <w:lvlText w:val="%4."/>
      <w:lvlJc w:val="left"/>
      <w:pPr>
        <w:ind w:left="2880" w:hanging="360"/>
      </w:pPr>
    </w:lvl>
    <w:lvl w:ilvl="4" w:tplc="3DFA0F3E" w:tentative="1">
      <w:start w:val="1"/>
      <w:numFmt w:val="lowerLetter"/>
      <w:lvlText w:val="%5."/>
      <w:lvlJc w:val="left"/>
      <w:pPr>
        <w:ind w:left="3600" w:hanging="360"/>
      </w:pPr>
    </w:lvl>
    <w:lvl w:ilvl="5" w:tplc="38104FA2" w:tentative="1">
      <w:start w:val="1"/>
      <w:numFmt w:val="lowerRoman"/>
      <w:lvlText w:val="%6."/>
      <w:lvlJc w:val="right"/>
      <w:pPr>
        <w:ind w:left="4320" w:hanging="180"/>
      </w:pPr>
    </w:lvl>
    <w:lvl w:ilvl="6" w:tplc="8C701BCA" w:tentative="1">
      <w:start w:val="1"/>
      <w:numFmt w:val="decimal"/>
      <w:lvlText w:val="%7."/>
      <w:lvlJc w:val="left"/>
      <w:pPr>
        <w:ind w:left="5040" w:hanging="360"/>
      </w:pPr>
    </w:lvl>
    <w:lvl w:ilvl="7" w:tplc="92D44E54" w:tentative="1">
      <w:start w:val="1"/>
      <w:numFmt w:val="lowerLetter"/>
      <w:lvlText w:val="%8."/>
      <w:lvlJc w:val="left"/>
      <w:pPr>
        <w:ind w:left="5760" w:hanging="360"/>
      </w:pPr>
    </w:lvl>
    <w:lvl w:ilvl="8" w:tplc="78DC2F2C" w:tentative="1">
      <w:start w:val="1"/>
      <w:numFmt w:val="lowerRoman"/>
      <w:lvlText w:val="%9."/>
      <w:lvlJc w:val="right"/>
      <w:pPr>
        <w:ind w:left="6480" w:hanging="180"/>
      </w:pPr>
    </w:lvl>
  </w:abstractNum>
  <w:abstractNum w:abstractNumId="6" w15:restartNumberingAfterBreak="0">
    <w:nsid w:val="209B112B"/>
    <w:multiLevelType w:val="hybridMultilevel"/>
    <w:tmpl w:val="5484B08E"/>
    <w:lvl w:ilvl="0" w:tplc="B2423CBE">
      <w:start w:val="1"/>
      <w:numFmt w:val="decimal"/>
      <w:pStyle w:val="List"/>
      <w:lvlText w:val="%1."/>
      <w:lvlJc w:val="left"/>
      <w:pPr>
        <w:tabs>
          <w:tab w:val="num" w:pos="720"/>
        </w:tabs>
        <w:ind w:left="720" w:hanging="720"/>
      </w:pPr>
      <w:rPr>
        <w:rFonts w:hint="default"/>
      </w:rPr>
    </w:lvl>
    <w:lvl w:ilvl="1" w:tplc="C6F07440" w:tentative="1">
      <w:start w:val="1"/>
      <w:numFmt w:val="lowerLetter"/>
      <w:lvlText w:val="%2."/>
      <w:lvlJc w:val="left"/>
      <w:pPr>
        <w:ind w:left="1440" w:hanging="360"/>
      </w:pPr>
    </w:lvl>
    <w:lvl w:ilvl="2" w:tplc="5EE632C4" w:tentative="1">
      <w:start w:val="1"/>
      <w:numFmt w:val="lowerRoman"/>
      <w:lvlText w:val="%3."/>
      <w:lvlJc w:val="right"/>
      <w:pPr>
        <w:ind w:left="2160" w:hanging="180"/>
      </w:pPr>
    </w:lvl>
    <w:lvl w:ilvl="3" w:tplc="1ABE70D2" w:tentative="1">
      <w:start w:val="1"/>
      <w:numFmt w:val="decimal"/>
      <w:lvlText w:val="%4."/>
      <w:lvlJc w:val="left"/>
      <w:pPr>
        <w:ind w:left="2880" w:hanging="360"/>
      </w:pPr>
    </w:lvl>
    <w:lvl w:ilvl="4" w:tplc="B64ACB6E" w:tentative="1">
      <w:start w:val="1"/>
      <w:numFmt w:val="lowerLetter"/>
      <w:lvlText w:val="%5."/>
      <w:lvlJc w:val="left"/>
      <w:pPr>
        <w:ind w:left="3600" w:hanging="360"/>
      </w:pPr>
    </w:lvl>
    <w:lvl w:ilvl="5" w:tplc="DC1224B0" w:tentative="1">
      <w:start w:val="1"/>
      <w:numFmt w:val="lowerRoman"/>
      <w:lvlText w:val="%6."/>
      <w:lvlJc w:val="right"/>
      <w:pPr>
        <w:ind w:left="4320" w:hanging="180"/>
      </w:pPr>
    </w:lvl>
    <w:lvl w:ilvl="6" w:tplc="E1FAF484" w:tentative="1">
      <w:start w:val="1"/>
      <w:numFmt w:val="decimal"/>
      <w:lvlText w:val="%7."/>
      <w:lvlJc w:val="left"/>
      <w:pPr>
        <w:ind w:left="5040" w:hanging="360"/>
      </w:pPr>
    </w:lvl>
    <w:lvl w:ilvl="7" w:tplc="3168B440" w:tentative="1">
      <w:start w:val="1"/>
      <w:numFmt w:val="lowerLetter"/>
      <w:lvlText w:val="%8."/>
      <w:lvlJc w:val="left"/>
      <w:pPr>
        <w:ind w:left="5760" w:hanging="360"/>
      </w:pPr>
    </w:lvl>
    <w:lvl w:ilvl="8" w:tplc="67C684CC" w:tentative="1">
      <w:start w:val="1"/>
      <w:numFmt w:val="lowerRoman"/>
      <w:lvlText w:val="%9."/>
      <w:lvlJc w:val="right"/>
      <w:pPr>
        <w:ind w:left="6480" w:hanging="180"/>
      </w:pPr>
    </w:lvl>
  </w:abstractNum>
  <w:abstractNum w:abstractNumId="7" w15:restartNumberingAfterBreak="0">
    <w:nsid w:val="20EC307A"/>
    <w:multiLevelType w:val="hybridMultilevel"/>
    <w:tmpl w:val="BCC0BD5C"/>
    <w:lvl w:ilvl="0" w:tplc="2E0E4ADE">
      <w:start w:val="1"/>
      <w:numFmt w:val="lowerLetter"/>
      <w:pStyle w:val="List2"/>
      <w:lvlText w:val="%1."/>
      <w:lvlJc w:val="left"/>
      <w:pPr>
        <w:tabs>
          <w:tab w:val="num" w:pos="1440"/>
        </w:tabs>
        <w:ind w:left="1440" w:hanging="720"/>
      </w:pPr>
      <w:rPr>
        <w:rFonts w:hint="default"/>
      </w:rPr>
    </w:lvl>
    <w:lvl w:ilvl="1" w:tplc="9D787498" w:tentative="1">
      <w:start w:val="1"/>
      <w:numFmt w:val="lowerLetter"/>
      <w:lvlText w:val="%2."/>
      <w:lvlJc w:val="left"/>
      <w:pPr>
        <w:ind w:left="1800" w:hanging="360"/>
      </w:pPr>
    </w:lvl>
    <w:lvl w:ilvl="2" w:tplc="4AC26A34" w:tentative="1">
      <w:start w:val="1"/>
      <w:numFmt w:val="lowerRoman"/>
      <w:lvlText w:val="%3."/>
      <w:lvlJc w:val="right"/>
      <w:pPr>
        <w:ind w:left="2520" w:hanging="180"/>
      </w:pPr>
    </w:lvl>
    <w:lvl w:ilvl="3" w:tplc="B31E1DC4" w:tentative="1">
      <w:start w:val="1"/>
      <w:numFmt w:val="decimal"/>
      <w:lvlText w:val="%4."/>
      <w:lvlJc w:val="left"/>
      <w:pPr>
        <w:ind w:left="3240" w:hanging="360"/>
      </w:pPr>
    </w:lvl>
    <w:lvl w:ilvl="4" w:tplc="2A6239CA" w:tentative="1">
      <w:start w:val="1"/>
      <w:numFmt w:val="lowerLetter"/>
      <w:lvlText w:val="%5."/>
      <w:lvlJc w:val="left"/>
      <w:pPr>
        <w:ind w:left="3960" w:hanging="360"/>
      </w:pPr>
    </w:lvl>
    <w:lvl w:ilvl="5" w:tplc="5268DC80" w:tentative="1">
      <w:start w:val="1"/>
      <w:numFmt w:val="lowerRoman"/>
      <w:lvlText w:val="%6."/>
      <w:lvlJc w:val="right"/>
      <w:pPr>
        <w:ind w:left="4680" w:hanging="180"/>
      </w:pPr>
    </w:lvl>
    <w:lvl w:ilvl="6" w:tplc="A71A0B3A" w:tentative="1">
      <w:start w:val="1"/>
      <w:numFmt w:val="decimal"/>
      <w:lvlText w:val="%7."/>
      <w:lvlJc w:val="left"/>
      <w:pPr>
        <w:ind w:left="5400" w:hanging="360"/>
      </w:pPr>
    </w:lvl>
    <w:lvl w:ilvl="7" w:tplc="30D6EE2E" w:tentative="1">
      <w:start w:val="1"/>
      <w:numFmt w:val="lowerLetter"/>
      <w:lvlText w:val="%8."/>
      <w:lvlJc w:val="left"/>
      <w:pPr>
        <w:ind w:left="6120" w:hanging="360"/>
      </w:pPr>
    </w:lvl>
    <w:lvl w:ilvl="8" w:tplc="11900464" w:tentative="1">
      <w:start w:val="1"/>
      <w:numFmt w:val="lowerRoman"/>
      <w:lvlText w:val="%9."/>
      <w:lvlJc w:val="right"/>
      <w:pPr>
        <w:ind w:left="6840" w:hanging="180"/>
      </w:pPr>
    </w:lvl>
  </w:abstractNum>
  <w:abstractNum w:abstractNumId="8" w15:restartNumberingAfterBreak="0">
    <w:nsid w:val="27D83515"/>
    <w:multiLevelType w:val="multilevel"/>
    <w:tmpl w:val="C832B760"/>
    <w:name w:val="zzmpLegal5||Legal5|2|1|1|1|12|33||1|12|0||1|12|0||1|12|0||1|12|0||mpNA||mpNA||mpNA||mpNA||"/>
    <w:lvl w:ilvl="0">
      <w:start w:val="1"/>
      <w:numFmt w:val="decimal"/>
      <w:lvlText w:val="%1."/>
      <w:lvlJc w:val="left"/>
      <w:pPr>
        <w:tabs>
          <w:tab w:val="num" w:pos="720"/>
        </w:tabs>
        <w:ind w:left="720" w:hanging="720"/>
      </w:pPr>
      <w:rPr>
        <w:b/>
        <w:i w:val="0"/>
        <w:caps w:val="0"/>
        <w:color w:val="auto"/>
        <w:u w:val="none"/>
      </w:rPr>
    </w:lvl>
    <w:lvl w:ilvl="1">
      <w:start w:val="1"/>
      <w:numFmt w:val="lowerLetter"/>
      <w:lvlText w:val="(%2)"/>
      <w:lvlJc w:val="left"/>
      <w:pPr>
        <w:tabs>
          <w:tab w:val="num" w:pos="720"/>
        </w:tabs>
        <w:ind w:left="0" w:firstLine="0"/>
      </w:pPr>
      <w:rPr>
        <w:b w:val="0"/>
        <w:i w:val="0"/>
        <w:caps w:val="0"/>
        <w:color w:val="auto"/>
        <w:u w:val="none"/>
      </w:rPr>
    </w:lvl>
    <w:lvl w:ilvl="2">
      <w:start w:val="1"/>
      <w:numFmt w:val="lowerRoman"/>
      <w:lvlText w:val="(%3)"/>
      <w:lvlJc w:val="left"/>
      <w:pPr>
        <w:tabs>
          <w:tab w:val="num" w:pos="1440"/>
        </w:tabs>
        <w:ind w:left="720" w:firstLine="0"/>
      </w:pPr>
      <w:rPr>
        <w:rFonts w:hint="default"/>
        <w:b w:val="0"/>
        <w:i w:val="0"/>
        <w:caps w:val="0"/>
        <w:color w:val="auto"/>
        <w:u w:val="none"/>
      </w:rPr>
    </w:lvl>
    <w:lvl w:ilvl="3">
      <w:start w:val="1"/>
      <w:numFmt w:val="upperLetter"/>
      <w:lvlText w:val="(%4)"/>
      <w:lvlJc w:val="left"/>
      <w:pPr>
        <w:tabs>
          <w:tab w:val="num" w:pos="2160"/>
        </w:tabs>
        <w:ind w:left="1440" w:firstLine="0"/>
      </w:pPr>
      <w:rPr>
        <w:b w:val="0"/>
        <w:i w:val="0"/>
        <w:caps w:val="0"/>
        <w:color w:val="auto"/>
        <w:u w:val="none"/>
      </w:rPr>
    </w:lvl>
    <w:lvl w:ilvl="4">
      <w:start w:val="1"/>
      <w:numFmt w:val="upperRoman"/>
      <w:pStyle w:val="Legal5L5"/>
      <w:lvlText w:val="(%5)"/>
      <w:lvlJc w:val="left"/>
      <w:pPr>
        <w:tabs>
          <w:tab w:val="num" w:pos="2880"/>
        </w:tabs>
        <w:ind w:left="2160" w:firstLine="0"/>
      </w:pPr>
      <w:rPr>
        <w:rFonts w:ascii="Times New Roman" w:hAnsi="Times New Roman" w:cs="Times New Roman"/>
        <w:b w:val="0"/>
        <w:i w:val="0"/>
        <w:caps w:val="0"/>
        <w:color w:val="auto"/>
        <w:sz w:val="22"/>
        <w:u w:val="none"/>
      </w:rPr>
    </w:lvl>
    <w:lvl w:ilvl="5">
      <w:start w:val="1"/>
      <w:numFmt w:val="upperLetter"/>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upperLetter"/>
      <w:lvlText w:val="%7."/>
      <w:lvlJc w:val="left"/>
      <w:pPr>
        <w:tabs>
          <w:tab w:val="num" w:pos="4320"/>
        </w:tabs>
        <w:ind w:left="4320" w:hanging="720"/>
      </w:pPr>
      <w:rPr>
        <w:b w:val="0"/>
        <w:i w:val="0"/>
        <w:caps w:val="0"/>
        <w:color w:val="auto"/>
        <w:sz w:val="24"/>
        <w:u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1455A16"/>
    <w:multiLevelType w:val="hybridMultilevel"/>
    <w:tmpl w:val="BD14296E"/>
    <w:name w:val="Heading2"/>
    <w:lvl w:ilvl="0" w:tplc="713A5376">
      <w:start w:val="1"/>
      <w:numFmt w:val="lowerLetter"/>
      <w:lvlText w:val="(%1)"/>
      <w:lvlJc w:val="left"/>
      <w:pPr>
        <w:ind w:left="1500" w:hanging="360"/>
      </w:pPr>
      <w:rPr>
        <w:rFonts w:hint="default"/>
      </w:rPr>
    </w:lvl>
    <w:lvl w:ilvl="1" w:tplc="4ABC8672" w:tentative="1">
      <w:start w:val="1"/>
      <w:numFmt w:val="lowerLetter"/>
      <w:lvlText w:val="%2."/>
      <w:lvlJc w:val="left"/>
      <w:pPr>
        <w:ind w:left="1440" w:hanging="360"/>
      </w:pPr>
    </w:lvl>
    <w:lvl w:ilvl="2" w:tplc="57EC928A" w:tentative="1">
      <w:start w:val="1"/>
      <w:numFmt w:val="lowerRoman"/>
      <w:lvlText w:val="%3."/>
      <w:lvlJc w:val="right"/>
      <w:pPr>
        <w:ind w:left="2160" w:hanging="180"/>
      </w:pPr>
    </w:lvl>
    <w:lvl w:ilvl="3" w:tplc="368ACBCE" w:tentative="1">
      <w:start w:val="1"/>
      <w:numFmt w:val="decimal"/>
      <w:lvlText w:val="%4."/>
      <w:lvlJc w:val="left"/>
      <w:pPr>
        <w:ind w:left="2880" w:hanging="360"/>
      </w:pPr>
    </w:lvl>
    <w:lvl w:ilvl="4" w:tplc="29F2A09E" w:tentative="1">
      <w:start w:val="1"/>
      <w:numFmt w:val="lowerLetter"/>
      <w:lvlText w:val="%5."/>
      <w:lvlJc w:val="left"/>
      <w:pPr>
        <w:ind w:left="3600" w:hanging="360"/>
      </w:pPr>
    </w:lvl>
    <w:lvl w:ilvl="5" w:tplc="35B850F0" w:tentative="1">
      <w:start w:val="1"/>
      <w:numFmt w:val="lowerRoman"/>
      <w:lvlText w:val="%6."/>
      <w:lvlJc w:val="right"/>
      <w:pPr>
        <w:ind w:left="4320" w:hanging="180"/>
      </w:pPr>
    </w:lvl>
    <w:lvl w:ilvl="6" w:tplc="8F368F62" w:tentative="1">
      <w:start w:val="1"/>
      <w:numFmt w:val="decimal"/>
      <w:lvlText w:val="%7."/>
      <w:lvlJc w:val="left"/>
      <w:pPr>
        <w:ind w:left="5040" w:hanging="360"/>
      </w:pPr>
    </w:lvl>
    <w:lvl w:ilvl="7" w:tplc="50182BF0" w:tentative="1">
      <w:start w:val="1"/>
      <w:numFmt w:val="lowerLetter"/>
      <w:lvlText w:val="%8."/>
      <w:lvlJc w:val="left"/>
      <w:pPr>
        <w:ind w:left="5760" w:hanging="360"/>
      </w:pPr>
    </w:lvl>
    <w:lvl w:ilvl="8" w:tplc="F028CE96" w:tentative="1">
      <w:start w:val="1"/>
      <w:numFmt w:val="lowerRoman"/>
      <w:lvlText w:val="%9."/>
      <w:lvlJc w:val="right"/>
      <w:pPr>
        <w:ind w:left="6480" w:hanging="180"/>
      </w:pPr>
    </w:lvl>
  </w:abstractNum>
  <w:abstractNum w:abstractNumId="10" w15:restartNumberingAfterBreak="0">
    <w:nsid w:val="5D8339E6"/>
    <w:multiLevelType w:val="multilevel"/>
    <w:tmpl w:val="75583B04"/>
    <w:name w:val="Heading"/>
    <w:lvl w:ilvl="0">
      <w:start w:val="1"/>
      <w:numFmt w:val="decimal"/>
      <w:pStyle w:val="Heading1"/>
      <w:suff w:val="nothing"/>
      <w:lvlText w:val="Section %1 "/>
      <w:lvlJc w:val="left"/>
      <w:pPr>
        <w:ind w:left="0" w:firstLine="0"/>
      </w:pPr>
      <w:rPr>
        <w:rFonts w:ascii="Times New Roman" w:hAnsi="Times New Roman" w:cs="Times New Roman" w:hint="default"/>
        <w:b/>
        <w:bCs w:val="0"/>
        <w:i w:val="0"/>
        <w:caps/>
        <w:smallCaps w:val="0"/>
        <w:strike w:val="0"/>
        <w:dstrike w:val="0"/>
        <w:outline w:val="0"/>
        <w:shadow w:val="0"/>
        <w:emboss w:val="0"/>
        <w:imprint w:val="0"/>
        <w:vanish w:val="0"/>
        <w:color w:val="000000"/>
        <w:sz w:val="24"/>
        <w:u w:val="none"/>
        <w:effect w:val="none"/>
        <w:vertAlign w:val="baseline"/>
      </w:rPr>
    </w:lvl>
    <w:lvl w:ilvl="1">
      <w:start w:val="1"/>
      <w:numFmt w:val="decimal"/>
      <w:pStyle w:val="Heading2"/>
      <w:lvlText w:val="%1.%2."/>
      <w:lvlJc w:val="left"/>
      <w:pPr>
        <w:tabs>
          <w:tab w:val="num" w:pos="0"/>
        </w:tabs>
        <w:ind w:left="0" w:firstLine="72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2">
      <w:start w:val="1"/>
      <w:numFmt w:val="lowerLetter"/>
      <w:pStyle w:val="Heading3"/>
      <w:lvlText w:val="(%3)"/>
      <w:lvlJc w:val="right"/>
      <w:pPr>
        <w:tabs>
          <w:tab w:val="num" w:pos="0"/>
        </w:tabs>
        <w:ind w:left="0" w:firstLine="936"/>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3">
      <w:start w:val="1"/>
      <w:numFmt w:val="lowerRoman"/>
      <w:pStyle w:val="Heading4"/>
      <w:lvlText w:val="(%4)"/>
      <w:lvlJc w:val="right"/>
      <w:pPr>
        <w:tabs>
          <w:tab w:val="num" w:pos="0"/>
        </w:tabs>
        <w:ind w:left="720" w:firstLine="1080"/>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4">
      <w:start w:val="1"/>
      <w:numFmt w:val="upperLetter"/>
      <w:pStyle w:val="Heading5"/>
      <w:lvlText w:val="(%5)"/>
      <w:lvlJc w:val="right"/>
      <w:pPr>
        <w:tabs>
          <w:tab w:val="num" w:pos="0"/>
        </w:tabs>
        <w:ind w:left="1512" w:firstLine="1152"/>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5">
      <w:start w:val="1"/>
      <w:numFmt w:val="decimal"/>
      <w:pStyle w:val="Heading6"/>
      <w:lvlText w:val="(%6)"/>
      <w:lvlJc w:val="right"/>
      <w:pPr>
        <w:tabs>
          <w:tab w:val="num" w:pos="0"/>
        </w:tabs>
        <w:ind w:left="2304" w:firstLine="1296"/>
      </w:pPr>
      <w:rPr>
        <w:rFonts w:ascii="Times New Roman" w:hAnsi="Times New Roman" w:cs="Times New Roman" w:hint="default"/>
        <w:b w:val="0"/>
        <w:i w:val="0"/>
        <w:caps w:val="0"/>
        <w:strike w:val="0"/>
        <w:dstrike w:val="0"/>
        <w:outline w:val="0"/>
        <w:shadow w:val="0"/>
        <w:emboss w:val="0"/>
        <w:imprint w:val="0"/>
        <w:vanish w:val="0"/>
        <w:color w:val="000000"/>
        <w:sz w:val="24"/>
        <w:u w:val="none"/>
        <w:effect w:val="none"/>
        <w:vertAlign w:val="baseline"/>
      </w:rPr>
    </w:lvl>
    <w:lvl w:ilvl="6">
      <w:start w:val="1"/>
      <w:numFmt w:val="upperLetter"/>
      <w:lvlRestart w:val="0"/>
      <w:pStyle w:val="Heading7"/>
      <w:suff w:val="nothing"/>
      <w:lvlText w:val="Exhibit %7"/>
      <w:lvlJc w:val="left"/>
      <w:pPr>
        <w:ind w:left="0" w:firstLine="0"/>
      </w:pPr>
      <w:rPr>
        <w:rFonts w:ascii="Times New Roman" w:hAnsi="Times New Roman" w:cs="Times New Roman" w:hint="default"/>
        <w:b/>
        <w:i w:val="0"/>
        <w:caps w:val="0"/>
        <w:strike w:val="0"/>
        <w:dstrike w:val="0"/>
        <w:outline w:val="0"/>
        <w:shadow w:val="0"/>
        <w:emboss w:val="0"/>
        <w:imprint w:val="0"/>
        <w:vanish w:val="0"/>
        <w:color w:val="000000"/>
        <w:sz w:val="24"/>
        <w:u w:val="none"/>
        <w:effect w:val="none"/>
        <w:vertAlign w:val="baseline"/>
      </w:rPr>
    </w:lvl>
    <w:lvl w:ilvl="7">
      <w:start w:val="1"/>
      <w:numFmt w:val="upperLetter"/>
      <w:lvlRestart w:val="0"/>
      <w:pStyle w:val="Heading8"/>
      <w:suff w:val="nothing"/>
      <w:lvlText w:val="Schedule %8"/>
      <w:lvlJc w:val="left"/>
      <w:pPr>
        <w:ind w:left="0" w:firstLine="0"/>
      </w:pPr>
      <w:rPr>
        <w:rFonts w:ascii="Times New Roman" w:hAnsi="Times New Roman" w:cs="Times New Roman" w:hint="default"/>
        <w:b/>
        <w:i w:val="0"/>
        <w:caps w:val="0"/>
        <w:strike w:val="0"/>
        <w:dstrike w:val="0"/>
        <w:outline w:val="0"/>
        <w:shadow w:val="0"/>
        <w:emboss w:val="0"/>
        <w:imprint w:val="0"/>
        <w:vanish w:val="0"/>
        <w:color w:val="000000"/>
        <w:sz w:val="24"/>
        <w:u w:val="none"/>
        <w:effect w:val="none"/>
        <w:vertAlign w:val="baseline"/>
      </w:rPr>
    </w:lvl>
    <w:lvl w:ilvl="8">
      <w:start w:val="1"/>
      <w:numFmt w:val="upperLetter"/>
      <w:lvlRestart w:val="0"/>
      <w:pStyle w:val="Heading9"/>
      <w:suff w:val="nothing"/>
      <w:lvlText w:val="Appendix %9"/>
      <w:lvlJc w:val="left"/>
      <w:pPr>
        <w:ind w:left="0" w:firstLine="0"/>
      </w:pPr>
      <w:rPr>
        <w:rFonts w:ascii="Times New Roman" w:hAnsi="Times New Roman" w:cs="Times New Roman" w:hint="default"/>
        <w:b/>
        <w:i w:val="0"/>
        <w:caps w:val="0"/>
        <w:strike w:val="0"/>
        <w:dstrike w:val="0"/>
        <w:outline w:val="0"/>
        <w:shadow w:val="0"/>
        <w:emboss w:val="0"/>
        <w:imprint w:val="0"/>
        <w:vanish w:val="0"/>
        <w:color w:val="000000"/>
        <w:sz w:val="24"/>
        <w:u w:val="none"/>
        <w:effect w:val="none"/>
        <w:vertAlign w:val="baseline"/>
      </w:rPr>
    </w:lvl>
  </w:abstractNum>
  <w:abstractNum w:abstractNumId="11" w15:restartNumberingAfterBreak="0">
    <w:nsid w:val="5E634AD8"/>
    <w:multiLevelType w:val="hybridMultilevel"/>
    <w:tmpl w:val="E68E64E8"/>
    <w:name w:val="Heading32"/>
    <w:lvl w:ilvl="0" w:tplc="EC16AAA0">
      <w:start w:val="1"/>
      <w:numFmt w:val="decimal"/>
      <w:lvlText w:val="%1."/>
      <w:lvlJc w:val="left"/>
      <w:pPr>
        <w:ind w:left="720" w:hanging="360"/>
      </w:pPr>
    </w:lvl>
    <w:lvl w:ilvl="1" w:tplc="521459E2" w:tentative="1">
      <w:start w:val="1"/>
      <w:numFmt w:val="lowerLetter"/>
      <w:lvlText w:val="%2."/>
      <w:lvlJc w:val="left"/>
      <w:pPr>
        <w:ind w:left="1440" w:hanging="360"/>
      </w:pPr>
    </w:lvl>
    <w:lvl w:ilvl="2" w:tplc="BCD27EBA" w:tentative="1">
      <w:start w:val="1"/>
      <w:numFmt w:val="lowerRoman"/>
      <w:lvlText w:val="%3."/>
      <w:lvlJc w:val="right"/>
      <w:pPr>
        <w:ind w:left="2160" w:hanging="180"/>
      </w:pPr>
    </w:lvl>
    <w:lvl w:ilvl="3" w:tplc="19A8AE80" w:tentative="1">
      <w:start w:val="1"/>
      <w:numFmt w:val="decimal"/>
      <w:lvlText w:val="%4."/>
      <w:lvlJc w:val="left"/>
      <w:pPr>
        <w:ind w:left="2880" w:hanging="360"/>
      </w:pPr>
    </w:lvl>
    <w:lvl w:ilvl="4" w:tplc="14CE822A" w:tentative="1">
      <w:start w:val="1"/>
      <w:numFmt w:val="lowerLetter"/>
      <w:lvlText w:val="%5."/>
      <w:lvlJc w:val="left"/>
      <w:pPr>
        <w:ind w:left="3600" w:hanging="360"/>
      </w:pPr>
    </w:lvl>
    <w:lvl w:ilvl="5" w:tplc="EE802818" w:tentative="1">
      <w:start w:val="1"/>
      <w:numFmt w:val="lowerRoman"/>
      <w:lvlText w:val="%6."/>
      <w:lvlJc w:val="right"/>
      <w:pPr>
        <w:ind w:left="4320" w:hanging="180"/>
      </w:pPr>
    </w:lvl>
    <w:lvl w:ilvl="6" w:tplc="6A526D6A" w:tentative="1">
      <w:start w:val="1"/>
      <w:numFmt w:val="decimal"/>
      <w:lvlText w:val="%7."/>
      <w:lvlJc w:val="left"/>
      <w:pPr>
        <w:ind w:left="5040" w:hanging="360"/>
      </w:pPr>
    </w:lvl>
    <w:lvl w:ilvl="7" w:tplc="E0608400" w:tentative="1">
      <w:start w:val="1"/>
      <w:numFmt w:val="lowerLetter"/>
      <w:lvlText w:val="%8."/>
      <w:lvlJc w:val="left"/>
      <w:pPr>
        <w:ind w:left="5760" w:hanging="360"/>
      </w:pPr>
    </w:lvl>
    <w:lvl w:ilvl="8" w:tplc="714017C6" w:tentative="1">
      <w:start w:val="1"/>
      <w:numFmt w:val="lowerRoman"/>
      <w:lvlText w:val="%9."/>
      <w:lvlJc w:val="right"/>
      <w:pPr>
        <w:ind w:left="6480" w:hanging="180"/>
      </w:pPr>
    </w:lvl>
  </w:abstractNum>
  <w:abstractNum w:abstractNumId="12" w15:restartNumberingAfterBreak="0">
    <w:nsid w:val="6BC07131"/>
    <w:multiLevelType w:val="hybridMultilevel"/>
    <w:tmpl w:val="6316D0C0"/>
    <w:name w:val="Heading3"/>
    <w:lvl w:ilvl="0" w:tplc="B574AB5C">
      <w:start w:val="1"/>
      <w:numFmt w:val="decimal"/>
      <w:lvlText w:val="%1."/>
      <w:lvlJc w:val="left"/>
      <w:pPr>
        <w:ind w:left="720" w:hanging="360"/>
      </w:pPr>
    </w:lvl>
    <w:lvl w:ilvl="1" w:tplc="96106F38" w:tentative="1">
      <w:start w:val="1"/>
      <w:numFmt w:val="lowerLetter"/>
      <w:lvlText w:val="%2."/>
      <w:lvlJc w:val="left"/>
      <w:pPr>
        <w:ind w:left="1440" w:hanging="360"/>
      </w:pPr>
    </w:lvl>
    <w:lvl w:ilvl="2" w:tplc="13004378" w:tentative="1">
      <w:start w:val="1"/>
      <w:numFmt w:val="lowerRoman"/>
      <w:lvlText w:val="%3."/>
      <w:lvlJc w:val="right"/>
      <w:pPr>
        <w:ind w:left="2160" w:hanging="180"/>
      </w:pPr>
    </w:lvl>
    <w:lvl w:ilvl="3" w:tplc="CCFC7C56" w:tentative="1">
      <w:start w:val="1"/>
      <w:numFmt w:val="decimal"/>
      <w:lvlText w:val="%4."/>
      <w:lvlJc w:val="left"/>
      <w:pPr>
        <w:ind w:left="2880" w:hanging="360"/>
      </w:pPr>
    </w:lvl>
    <w:lvl w:ilvl="4" w:tplc="7BDC07EC" w:tentative="1">
      <w:start w:val="1"/>
      <w:numFmt w:val="lowerLetter"/>
      <w:lvlText w:val="%5."/>
      <w:lvlJc w:val="left"/>
      <w:pPr>
        <w:ind w:left="3600" w:hanging="360"/>
      </w:pPr>
    </w:lvl>
    <w:lvl w:ilvl="5" w:tplc="4354482E" w:tentative="1">
      <w:start w:val="1"/>
      <w:numFmt w:val="lowerRoman"/>
      <w:lvlText w:val="%6."/>
      <w:lvlJc w:val="right"/>
      <w:pPr>
        <w:ind w:left="4320" w:hanging="180"/>
      </w:pPr>
    </w:lvl>
    <w:lvl w:ilvl="6" w:tplc="8918F39C" w:tentative="1">
      <w:start w:val="1"/>
      <w:numFmt w:val="decimal"/>
      <w:lvlText w:val="%7."/>
      <w:lvlJc w:val="left"/>
      <w:pPr>
        <w:ind w:left="5040" w:hanging="360"/>
      </w:pPr>
    </w:lvl>
    <w:lvl w:ilvl="7" w:tplc="497EBA7C" w:tentative="1">
      <w:start w:val="1"/>
      <w:numFmt w:val="lowerLetter"/>
      <w:lvlText w:val="%8."/>
      <w:lvlJc w:val="left"/>
      <w:pPr>
        <w:ind w:left="5760" w:hanging="360"/>
      </w:pPr>
    </w:lvl>
    <w:lvl w:ilvl="8" w:tplc="DD884FF0"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0"/>
  </w:num>
  <w:num w:numId="6">
    <w:abstractNumId w:val="5"/>
  </w:num>
  <w:num w:numId="7">
    <w:abstractNumId w:val="8"/>
  </w:num>
  <w:num w:numId="8">
    <w:abstractNumId w:val="10"/>
  </w:num>
  <w:num w:numId="9">
    <w:abstractNumId w:val="10"/>
  </w:num>
  <w:num w:numId="10">
    <w:abstractNumId w:val="1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10"/>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1|0|0|0|0|0|1|1|1|@@"/>
  </w:docVars>
  <w:rsids>
    <w:rsidRoot w:val="00D0000D"/>
    <w:rsid w:val="00000E4A"/>
    <w:rsid w:val="00002632"/>
    <w:rsid w:val="00002796"/>
    <w:rsid w:val="00002A14"/>
    <w:rsid w:val="00002E85"/>
    <w:rsid w:val="0001215F"/>
    <w:rsid w:val="00013F4A"/>
    <w:rsid w:val="00015ACC"/>
    <w:rsid w:val="000163FD"/>
    <w:rsid w:val="000172DA"/>
    <w:rsid w:val="00025241"/>
    <w:rsid w:val="0002616C"/>
    <w:rsid w:val="00026837"/>
    <w:rsid w:val="0002707F"/>
    <w:rsid w:val="00030CC9"/>
    <w:rsid w:val="000311E5"/>
    <w:rsid w:val="00031AB3"/>
    <w:rsid w:val="00031CDA"/>
    <w:rsid w:val="000325D3"/>
    <w:rsid w:val="000327DD"/>
    <w:rsid w:val="00041FC9"/>
    <w:rsid w:val="0004237D"/>
    <w:rsid w:val="00042801"/>
    <w:rsid w:val="000444DB"/>
    <w:rsid w:val="00051503"/>
    <w:rsid w:val="00051E78"/>
    <w:rsid w:val="00051FDB"/>
    <w:rsid w:val="0005387F"/>
    <w:rsid w:val="000555D9"/>
    <w:rsid w:val="00055C51"/>
    <w:rsid w:val="000560B8"/>
    <w:rsid w:val="000562A4"/>
    <w:rsid w:val="0006173C"/>
    <w:rsid w:val="00063154"/>
    <w:rsid w:val="00063B4F"/>
    <w:rsid w:val="00071143"/>
    <w:rsid w:val="000712D6"/>
    <w:rsid w:val="00082D4C"/>
    <w:rsid w:val="00082DC9"/>
    <w:rsid w:val="00086309"/>
    <w:rsid w:val="000867B2"/>
    <w:rsid w:val="000873EF"/>
    <w:rsid w:val="00094ABE"/>
    <w:rsid w:val="000A2BB7"/>
    <w:rsid w:val="000A6A13"/>
    <w:rsid w:val="000A6DC0"/>
    <w:rsid w:val="000A70DF"/>
    <w:rsid w:val="000A7C10"/>
    <w:rsid w:val="000B2EA5"/>
    <w:rsid w:val="000B30C8"/>
    <w:rsid w:val="000B48BF"/>
    <w:rsid w:val="000C1F1E"/>
    <w:rsid w:val="000C2F75"/>
    <w:rsid w:val="000C4EC7"/>
    <w:rsid w:val="000C6EE9"/>
    <w:rsid w:val="000D01D3"/>
    <w:rsid w:val="000D120E"/>
    <w:rsid w:val="000D497F"/>
    <w:rsid w:val="000D4A27"/>
    <w:rsid w:val="000D5E0C"/>
    <w:rsid w:val="000D70F7"/>
    <w:rsid w:val="000D7B4D"/>
    <w:rsid w:val="000E2375"/>
    <w:rsid w:val="000E348B"/>
    <w:rsid w:val="000E37A4"/>
    <w:rsid w:val="000E54B8"/>
    <w:rsid w:val="000E61B3"/>
    <w:rsid w:val="000E708B"/>
    <w:rsid w:val="000E74AB"/>
    <w:rsid w:val="000F50CF"/>
    <w:rsid w:val="0011078D"/>
    <w:rsid w:val="00113FF4"/>
    <w:rsid w:val="001154E6"/>
    <w:rsid w:val="00117153"/>
    <w:rsid w:val="00123D89"/>
    <w:rsid w:val="001259F9"/>
    <w:rsid w:val="00125E4C"/>
    <w:rsid w:val="0013039F"/>
    <w:rsid w:val="00135D81"/>
    <w:rsid w:val="00137A20"/>
    <w:rsid w:val="001411F0"/>
    <w:rsid w:val="001437FB"/>
    <w:rsid w:val="00143EFD"/>
    <w:rsid w:val="0014422A"/>
    <w:rsid w:val="00144F32"/>
    <w:rsid w:val="0014641A"/>
    <w:rsid w:val="001464B7"/>
    <w:rsid w:val="001466B8"/>
    <w:rsid w:val="00153AC2"/>
    <w:rsid w:val="00153FC3"/>
    <w:rsid w:val="00161B4C"/>
    <w:rsid w:val="00171A12"/>
    <w:rsid w:val="00172D49"/>
    <w:rsid w:val="0017525F"/>
    <w:rsid w:val="001769B5"/>
    <w:rsid w:val="001774F0"/>
    <w:rsid w:val="00184BC1"/>
    <w:rsid w:val="00185547"/>
    <w:rsid w:val="0019528B"/>
    <w:rsid w:val="00195DB8"/>
    <w:rsid w:val="00197896"/>
    <w:rsid w:val="001A10D9"/>
    <w:rsid w:val="001A1F01"/>
    <w:rsid w:val="001C29A1"/>
    <w:rsid w:val="001C3519"/>
    <w:rsid w:val="001C631A"/>
    <w:rsid w:val="001C72C0"/>
    <w:rsid w:val="001D1476"/>
    <w:rsid w:val="001D35CD"/>
    <w:rsid w:val="001D3F7C"/>
    <w:rsid w:val="001D4626"/>
    <w:rsid w:val="001D57F5"/>
    <w:rsid w:val="001D5A93"/>
    <w:rsid w:val="001D6059"/>
    <w:rsid w:val="001D6E7F"/>
    <w:rsid w:val="001E2518"/>
    <w:rsid w:val="001E2B44"/>
    <w:rsid w:val="001E424D"/>
    <w:rsid w:val="001E6C0F"/>
    <w:rsid w:val="001E78FD"/>
    <w:rsid w:val="001E7A85"/>
    <w:rsid w:val="001F0FFA"/>
    <w:rsid w:val="0020132D"/>
    <w:rsid w:val="00201CFE"/>
    <w:rsid w:val="0021143F"/>
    <w:rsid w:val="002148D1"/>
    <w:rsid w:val="00214D39"/>
    <w:rsid w:val="002178D7"/>
    <w:rsid w:val="002251F1"/>
    <w:rsid w:val="0022788E"/>
    <w:rsid w:val="00231C06"/>
    <w:rsid w:val="00231E2F"/>
    <w:rsid w:val="0023220A"/>
    <w:rsid w:val="00232CC8"/>
    <w:rsid w:val="00232E11"/>
    <w:rsid w:val="002336A0"/>
    <w:rsid w:val="00235D6A"/>
    <w:rsid w:val="00236CC5"/>
    <w:rsid w:val="00241FE0"/>
    <w:rsid w:val="002432F9"/>
    <w:rsid w:val="00251B43"/>
    <w:rsid w:val="00252799"/>
    <w:rsid w:val="00256911"/>
    <w:rsid w:val="0026213A"/>
    <w:rsid w:val="002627E1"/>
    <w:rsid w:val="002631AE"/>
    <w:rsid w:val="00264F8A"/>
    <w:rsid w:val="00275795"/>
    <w:rsid w:val="00275A4F"/>
    <w:rsid w:val="00277C73"/>
    <w:rsid w:val="00281004"/>
    <w:rsid w:val="002828E6"/>
    <w:rsid w:val="0028454B"/>
    <w:rsid w:val="00286565"/>
    <w:rsid w:val="00293945"/>
    <w:rsid w:val="00294AE7"/>
    <w:rsid w:val="0029540A"/>
    <w:rsid w:val="002A08D9"/>
    <w:rsid w:val="002A2470"/>
    <w:rsid w:val="002A5F7E"/>
    <w:rsid w:val="002A71F9"/>
    <w:rsid w:val="002B1326"/>
    <w:rsid w:val="002B206C"/>
    <w:rsid w:val="002B4F8C"/>
    <w:rsid w:val="002B579A"/>
    <w:rsid w:val="002B5ABC"/>
    <w:rsid w:val="002B6426"/>
    <w:rsid w:val="002B7F32"/>
    <w:rsid w:val="002C216F"/>
    <w:rsid w:val="002C4C12"/>
    <w:rsid w:val="002C50D9"/>
    <w:rsid w:val="002C68CB"/>
    <w:rsid w:val="002C742D"/>
    <w:rsid w:val="002C7EF8"/>
    <w:rsid w:val="002D060C"/>
    <w:rsid w:val="002D155B"/>
    <w:rsid w:val="002D26F0"/>
    <w:rsid w:val="002D294E"/>
    <w:rsid w:val="002D2DF0"/>
    <w:rsid w:val="002D333B"/>
    <w:rsid w:val="002D34AE"/>
    <w:rsid w:val="002D5E3D"/>
    <w:rsid w:val="002D768E"/>
    <w:rsid w:val="002E0219"/>
    <w:rsid w:val="002E083A"/>
    <w:rsid w:val="002F0C7E"/>
    <w:rsid w:val="002F16D2"/>
    <w:rsid w:val="002F1751"/>
    <w:rsid w:val="002F1B30"/>
    <w:rsid w:val="002F708E"/>
    <w:rsid w:val="00300D59"/>
    <w:rsid w:val="00306DD5"/>
    <w:rsid w:val="00313F87"/>
    <w:rsid w:val="00314260"/>
    <w:rsid w:val="00315C6B"/>
    <w:rsid w:val="0032035C"/>
    <w:rsid w:val="003225F0"/>
    <w:rsid w:val="00324065"/>
    <w:rsid w:val="003256C2"/>
    <w:rsid w:val="00334FD1"/>
    <w:rsid w:val="00336E39"/>
    <w:rsid w:val="00345928"/>
    <w:rsid w:val="003468BC"/>
    <w:rsid w:val="003529F5"/>
    <w:rsid w:val="003560C1"/>
    <w:rsid w:val="00361662"/>
    <w:rsid w:val="00365B93"/>
    <w:rsid w:val="00376DDB"/>
    <w:rsid w:val="003817D9"/>
    <w:rsid w:val="003832EE"/>
    <w:rsid w:val="00385D36"/>
    <w:rsid w:val="003862C4"/>
    <w:rsid w:val="00387BB1"/>
    <w:rsid w:val="003924A0"/>
    <w:rsid w:val="0039320D"/>
    <w:rsid w:val="003938C0"/>
    <w:rsid w:val="003A01A9"/>
    <w:rsid w:val="003A2D86"/>
    <w:rsid w:val="003B3F14"/>
    <w:rsid w:val="003B5906"/>
    <w:rsid w:val="003B5C4B"/>
    <w:rsid w:val="003B641D"/>
    <w:rsid w:val="003B6FA2"/>
    <w:rsid w:val="003B7DE1"/>
    <w:rsid w:val="003C3E90"/>
    <w:rsid w:val="003D0202"/>
    <w:rsid w:val="003D053D"/>
    <w:rsid w:val="003D40CE"/>
    <w:rsid w:val="003D488A"/>
    <w:rsid w:val="003D56B9"/>
    <w:rsid w:val="003E02E0"/>
    <w:rsid w:val="003E5253"/>
    <w:rsid w:val="003E7C28"/>
    <w:rsid w:val="003F25B3"/>
    <w:rsid w:val="003F58DE"/>
    <w:rsid w:val="003F597C"/>
    <w:rsid w:val="003F63C9"/>
    <w:rsid w:val="003F7306"/>
    <w:rsid w:val="004055D7"/>
    <w:rsid w:val="0041101E"/>
    <w:rsid w:val="00413AD4"/>
    <w:rsid w:val="00416DEE"/>
    <w:rsid w:val="00417C5D"/>
    <w:rsid w:val="004211E7"/>
    <w:rsid w:val="004214F5"/>
    <w:rsid w:val="00421C91"/>
    <w:rsid w:val="004248CE"/>
    <w:rsid w:val="004251EA"/>
    <w:rsid w:val="00426920"/>
    <w:rsid w:val="00431D9F"/>
    <w:rsid w:val="0043245E"/>
    <w:rsid w:val="00435586"/>
    <w:rsid w:val="0044086E"/>
    <w:rsid w:val="004558CB"/>
    <w:rsid w:val="00456EDE"/>
    <w:rsid w:val="004618FC"/>
    <w:rsid w:val="00462B36"/>
    <w:rsid w:val="00463029"/>
    <w:rsid w:val="004641B9"/>
    <w:rsid w:val="00465DA7"/>
    <w:rsid w:val="00470382"/>
    <w:rsid w:val="00472C3F"/>
    <w:rsid w:val="00474BDD"/>
    <w:rsid w:val="0047529D"/>
    <w:rsid w:val="00475A54"/>
    <w:rsid w:val="00477E0F"/>
    <w:rsid w:val="00482235"/>
    <w:rsid w:val="00486900"/>
    <w:rsid w:val="00490A8B"/>
    <w:rsid w:val="00493F59"/>
    <w:rsid w:val="00494466"/>
    <w:rsid w:val="00494BCC"/>
    <w:rsid w:val="004A3D6A"/>
    <w:rsid w:val="004B11CD"/>
    <w:rsid w:val="004B169C"/>
    <w:rsid w:val="004B5DF8"/>
    <w:rsid w:val="004B70F4"/>
    <w:rsid w:val="004C219F"/>
    <w:rsid w:val="004C7C8C"/>
    <w:rsid w:val="004D21DF"/>
    <w:rsid w:val="004D23A6"/>
    <w:rsid w:val="004D5717"/>
    <w:rsid w:val="004E66B1"/>
    <w:rsid w:val="004E7A70"/>
    <w:rsid w:val="004F3650"/>
    <w:rsid w:val="004F5112"/>
    <w:rsid w:val="004F7706"/>
    <w:rsid w:val="004F7C84"/>
    <w:rsid w:val="00503922"/>
    <w:rsid w:val="005065FC"/>
    <w:rsid w:val="00510320"/>
    <w:rsid w:val="00510C2D"/>
    <w:rsid w:val="005121E3"/>
    <w:rsid w:val="005122F9"/>
    <w:rsid w:val="005142EA"/>
    <w:rsid w:val="00522D5C"/>
    <w:rsid w:val="0052391E"/>
    <w:rsid w:val="00524DF4"/>
    <w:rsid w:val="00530784"/>
    <w:rsid w:val="00533236"/>
    <w:rsid w:val="00533E23"/>
    <w:rsid w:val="0053416C"/>
    <w:rsid w:val="00534753"/>
    <w:rsid w:val="0053483A"/>
    <w:rsid w:val="0054319E"/>
    <w:rsid w:val="00543EA4"/>
    <w:rsid w:val="00545ACF"/>
    <w:rsid w:val="005523CB"/>
    <w:rsid w:val="005543CD"/>
    <w:rsid w:val="005556F9"/>
    <w:rsid w:val="00566123"/>
    <w:rsid w:val="00572F12"/>
    <w:rsid w:val="00574E4D"/>
    <w:rsid w:val="00577A90"/>
    <w:rsid w:val="00583658"/>
    <w:rsid w:val="0058365B"/>
    <w:rsid w:val="00585860"/>
    <w:rsid w:val="005864B9"/>
    <w:rsid w:val="00586EA5"/>
    <w:rsid w:val="00596428"/>
    <w:rsid w:val="005A014B"/>
    <w:rsid w:val="005A1CF5"/>
    <w:rsid w:val="005A31A8"/>
    <w:rsid w:val="005A659F"/>
    <w:rsid w:val="005B18BB"/>
    <w:rsid w:val="005B1D34"/>
    <w:rsid w:val="005B22AC"/>
    <w:rsid w:val="005B25BA"/>
    <w:rsid w:val="005B512D"/>
    <w:rsid w:val="005B5166"/>
    <w:rsid w:val="005C1188"/>
    <w:rsid w:val="005C1DFF"/>
    <w:rsid w:val="005C5E4D"/>
    <w:rsid w:val="005D11B0"/>
    <w:rsid w:val="005D2617"/>
    <w:rsid w:val="005D2D7A"/>
    <w:rsid w:val="005D3426"/>
    <w:rsid w:val="005D6308"/>
    <w:rsid w:val="005D78DD"/>
    <w:rsid w:val="005D7F26"/>
    <w:rsid w:val="005E1D8A"/>
    <w:rsid w:val="005E552C"/>
    <w:rsid w:val="005E5A6C"/>
    <w:rsid w:val="005E61FE"/>
    <w:rsid w:val="005F060F"/>
    <w:rsid w:val="005F248F"/>
    <w:rsid w:val="005F3B1C"/>
    <w:rsid w:val="005F77EF"/>
    <w:rsid w:val="00603008"/>
    <w:rsid w:val="00606ABE"/>
    <w:rsid w:val="0060769D"/>
    <w:rsid w:val="00607847"/>
    <w:rsid w:val="006145CB"/>
    <w:rsid w:val="00615838"/>
    <w:rsid w:val="00616E9F"/>
    <w:rsid w:val="006245B5"/>
    <w:rsid w:val="006274F3"/>
    <w:rsid w:val="00631060"/>
    <w:rsid w:val="006371F9"/>
    <w:rsid w:val="00637CFC"/>
    <w:rsid w:val="00640D45"/>
    <w:rsid w:val="00640F64"/>
    <w:rsid w:val="006411A2"/>
    <w:rsid w:val="00645CFD"/>
    <w:rsid w:val="0064662C"/>
    <w:rsid w:val="006469CB"/>
    <w:rsid w:val="00650EDE"/>
    <w:rsid w:val="00651A5B"/>
    <w:rsid w:val="00652F54"/>
    <w:rsid w:val="00656CDF"/>
    <w:rsid w:val="0065711A"/>
    <w:rsid w:val="00657194"/>
    <w:rsid w:val="006621E9"/>
    <w:rsid w:val="00662612"/>
    <w:rsid w:val="00662F7E"/>
    <w:rsid w:val="00667755"/>
    <w:rsid w:val="006703C7"/>
    <w:rsid w:val="00674008"/>
    <w:rsid w:val="00674428"/>
    <w:rsid w:val="006769AE"/>
    <w:rsid w:val="0068031C"/>
    <w:rsid w:val="00680E58"/>
    <w:rsid w:val="00685DD4"/>
    <w:rsid w:val="006871FD"/>
    <w:rsid w:val="00693692"/>
    <w:rsid w:val="0069663E"/>
    <w:rsid w:val="006974E2"/>
    <w:rsid w:val="0069761F"/>
    <w:rsid w:val="006A6E7B"/>
    <w:rsid w:val="006B3999"/>
    <w:rsid w:val="006C54AD"/>
    <w:rsid w:val="006C5566"/>
    <w:rsid w:val="006C66C6"/>
    <w:rsid w:val="006C6E77"/>
    <w:rsid w:val="006D000B"/>
    <w:rsid w:val="006D0E42"/>
    <w:rsid w:val="006D489B"/>
    <w:rsid w:val="006D5CD1"/>
    <w:rsid w:val="006D721A"/>
    <w:rsid w:val="006E4F49"/>
    <w:rsid w:val="006E531A"/>
    <w:rsid w:val="006E57EA"/>
    <w:rsid w:val="006F25ED"/>
    <w:rsid w:val="006F26F0"/>
    <w:rsid w:val="006F3A66"/>
    <w:rsid w:val="006F5B9A"/>
    <w:rsid w:val="006F6A97"/>
    <w:rsid w:val="00701AD7"/>
    <w:rsid w:val="00701B50"/>
    <w:rsid w:val="00707043"/>
    <w:rsid w:val="0071007A"/>
    <w:rsid w:val="00715716"/>
    <w:rsid w:val="00717188"/>
    <w:rsid w:val="007173F1"/>
    <w:rsid w:val="007201C2"/>
    <w:rsid w:val="007224C1"/>
    <w:rsid w:val="00722720"/>
    <w:rsid w:val="00723421"/>
    <w:rsid w:val="007262B8"/>
    <w:rsid w:val="007266E6"/>
    <w:rsid w:val="00726D89"/>
    <w:rsid w:val="00727BAA"/>
    <w:rsid w:val="00730D76"/>
    <w:rsid w:val="00731890"/>
    <w:rsid w:val="0073299E"/>
    <w:rsid w:val="00736B20"/>
    <w:rsid w:val="0074022E"/>
    <w:rsid w:val="00743969"/>
    <w:rsid w:val="00745DEF"/>
    <w:rsid w:val="00747B2E"/>
    <w:rsid w:val="0075228B"/>
    <w:rsid w:val="00753B7C"/>
    <w:rsid w:val="007553C7"/>
    <w:rsid w:val="00755F58"/>
    <w:rsid w:val="00756B31"/>
    <w:rsid w:val="0076360B"/>
    <w:rsid w:val="00766853"/>
    <w:rsid w:val="00767B92"/>
    <w:rsid w:val="00771974"/>
    <w:rsid w:val="007729CA"/>
    <w:rsid w:val="00777BFA"/>
    <w:rsid w:val="00777E98"/>
    <w:rsid w:val="00780A97"/>
    <w:rsid w:val="00781231"/>
    <w:rsid w:val="00784881"/>
    <w:rsid w:val="00785BF0"/>
    <w:rsid w:val="00786BAD"/>
    <w:rsid w:val="00794EAA"/>
    <w:rsid w:val="00796E41"/>
    <w:rsid w:val="007A075F"/>
    <w:rsid w:val="007A4C0C"/>
    <w:rsid w:val="007A5D57"/>
    <w:rsid w:val="007A63B7"/>
    <w:rsid w:val="007B5CE0"/>
    <w:rsid w:val="007B72AE"/>
    <w:rsid w:val="007B7A97"/>
    <w:rsid w:val="007C3EE9"/>
    <w:rsid w:val="007C7E31"/>
    <w:rsid w:val="007D3CFF"/>
    <w:rsid w:val="007D5180"/>
    <w:rsid w:val="007E3BB9"/>
    <w:rsid w:val="007E7FA1"/>
    <w:rsid w:val="007F11AE"/>
    <w:rsid w:val="007F5257"/>
    <w:rsid w:val="0080748C"/>
    <w:rsid w:val="00811144"/>
    <w:rsid w:val="008111F2"/>
    <w:rsid w:val="00812346"/>
    <w:rsid w:val="00812E21"/>
    <w:rsid w:val="00815635"/>
    <w:rsid w:val="008174E9"/>
    <w:rsid w:val="0082150B"/>
    <w:rsid w:val="00824C1C"/>
    <w:rsid w:val="0082641C"/>
    <w:rsid w:val="008269A8"/>
    <w:rsid w:val="008355F8"/>
    <w:rsid w:val="00837D26"/>
    <w:rsid w:val="00840A09"/>
    <w:rsid w:val="00840A60"/>
    <w:rsid w:val="00841743"/>
    <w:rsid w:val="00842829"/>
    <w:rsid w:val="00844660"/>
    <w:rsid w:val="00844780"/>
    <w:rsid w:val="008462AF"/>
    <w:rsid w:val="0084633C"/>
    <w:rsid w:val="00860618"/>
    <w:rsid w:val="008635C6"/>
    <w:rsid w:val="00863B82"/>
    <w:rsid w:val="008752AC"/>
    <w:rsid w:val="008779EF"/>
    <w:rsid w:val="00881884"/>
    <w:rsid w:val="00882435"/>
    <w:rsid w:val="00884310"/>
    <w:rsid w:val="00886EA0"/>
    <w:rsid w:val="0089231A"/>
    <w:rsid w:val="00895DDB"/>
    <w:rsid w:val="008A0FEC"/>
    <w:rsid w:val="008A23A8"/>
    <w:rsid w:val="008A398B"/>
    <w:rsid w:val="008A6BC8"/>
    <w:rsid w:val="008A6D3B"/>
    <w:rsid w:val="008B485E"/>
    <w:rsid w:val="008B58C4"/>
    <w:rsid w:val="008B5BE1"/>
    <w:rsid w:val="008B7A8F"/>
    <w:rsid w:val="008C0B3A"/>
    <w:rsid w:val="008C2E4C"/>
    <w:rsid w:val="008D2A8C"/>
    <w:rsid w:val="008D5CD1"/>
    <w:rsid w:val="008D5F6E"/>
    <w:rsid w:val="008D64BB"/>
    <w:rsid w:val="008E03A3"/>
    <w:rsid w:val="008E11FD"/>
    <w:rsid w:val="008E1C79"/>
    <w:rsid w:val="008E319B"/>
    <w:rsid w:val="008F295D"/>
    <w:rsid w:val="008F3E7B"/>
    <w:rsid w:val="008F749D"/>
    <w:rsid w:val="008F75F3"/>
    <w:rsid w:val="009037A7"/>
    <w:rsid w:val="00906708"/>
    <w:rsid w:val="00907987"/>
    <w:rsid w:val="00907C1E"/>
    <w:rsid w:val="009117AF"/>
    <w:rsid w:val="00914727"/>
    <w:rsid w:val="00915DF9"/>
    <w:rsid w:val="00917268"/>
    <w:rsid w:val="00927EE0"/>
    <w:rsid w:val="00930297"/>
    <w:rsid w:val="00934182"/>
    <w:rsid w:val="009348AF"/>
    <w:rsid w:val="009370EC"/>
    <w:rsid w:val="00937D58"/>
    <w:rsid w:val="00941CC2"/>
    <w:rsid w:val="00942D1A"/>
    <w:rsid w:val="00945F9A"/>
    <w:rsid w:val="00947A02"/>
    <w:rsid w:val="00947CB8"/>
    <w:rsid w:val="00953493"/>
    <w:rsid w:val="009557D7"/>
    <w:rsid w:val="0096718F"/>
    <w:rsid w:val="00972393"/>
    <w:rsid w:val="00975638"/>
    <w:rsid w:val="009801D2"/>
    <w:rsid w:val="00980413"/>
    <w:rsid w:val="009858DD"/>
    <w:rsid w:val="00991482"/>
    <w:rsid w:val="00991FEA"/>
    <w:rsid w:val="0099485C"/>
    <w:rsid w:val="00996189"/>
    <w:rsid w:val="00997D90"/>
    <w:rsid w:val="009A30ED"/>
    <w:rsid w:val="009A4FD8"/>
    <w:rsid w:val="009A553E"/>
    <w:rsid w:val="009B6362"/>
    <w:rsid w:val="009B6A19"/>
    <w:rsid w:val="009C3FF5"/>
    <w:rsid w:val="009D0863"/>
    <w:rsid w:val="009D476B"/>
    <w:rsid w:val="009D7337"/>
    <w:rsid w:val="009D7AF5"/>
    <w:rsid w:val="009E1483"/>
    <w:rsid w:val="009E70D1"/>
    <w:rsid w:val="009F06BB"/>
    <w:rsid w:val="009F3209"/>
    <w:rsid w:val="009F4CCE"/>
    <w:rsid w:val="009F59F7"/>
    <w:rsid w:val="009F5A5A"/>
    <w:rsid w:val="00A02888"/>
    <w:rsid w:val="00A12512"/>
    <w:rsid w:val="00A15FF4"/>
    <w:rsid w:val="00A20AF3"/>
    <w:rsid w:val="00A22ACF"/>
    <w:rsid w:val="00A246F8"/>
    <w:rsid w:val="00A25338"/>
    <w:rsid w:val="00A268BF"/>
    <w:rsid w:val="00A3076B"/>
    <w:rsid w:val="00A31AF3"/>
    <w:rsid w:val="00A33C38"/>
    <w:rsid w:val="00A344D3"/>
    <w:rsid w:val="00A3562A"/>
    <w:rsid w:val="00A429C4"/>
    <w:rsid w:val="00A53130"/>
    <w:rsid w:val="00A55130"/>
    <w:rsid w:val="00A56DEA"/>
    <w:rsid w:val="00A60FDF"/>
    <w:rsid w:val="00A67FE1"/>
    <w:rsid w:val="00A70C80"/>
    <w:rsid w:val="00A71FE9"/>
    <w:rsid w:val="00A753EF"/>
    <w:rsid w:val="00A75708"/>
    <w:rsid w:val="00A80F87"/>
    <w:rsid w:val="00A81BB7"/>
    <w:rsid w:val="00A821BD"/>
    <w:rsid w:val="00A83869"/>
    <w:rsid w:val="00A85B70"/>
    <w:rsid w:val="00A87D3F"/>
    <w:rsid w:val="00A91807"/>
    <w:rsid w:val="00A91904"/>
    <w:rsid w:val="00A91FB5"/>
    <w:rsid w:val="00A93C79"/>
    <w:rsid w:val="00A9445C"/>
    <w:rsid w:val="00AA2E0B"/>
    <w:rsid w:val="00AA3E4D"/>
    <w:rsid w:val="00AA57DA"/>
    <w:rsid w:val="00AB23A7"/>
    <w:rsid w:val="00AC0EBB"/>
    <w:rsid w:val="00AC28C3"/>
    <w:rsid w:val="00AC3140"/>
    <w:rsid w:val="00AC3333"/>
    <w:rsid w:val="00AC7F4C"/>
    <w:rsid w:val="00AD04DD"/>
    <w:rsid w:val="00AD1428"/>
    <w:rsid w:val="00AD2D18"/>
    <w:rsid w:val="00AE2065"/>
    <w:rsid w:val="00AE7D92"/>
    <w:rsid w:val="00AF0EDB"/>
    <w:rsid w:val="00AF10DB"/>
    <w:rsid w:val="00AF38D3"/>
    <w:rsid w:val="00AF3F62"/>
    <w:rsid w:val="00AF441D"/>
    <w:rsid w:val="00B03E3B"/>
    <w:rsid w:val="00B04169"/>
    <w:rsid w:val="00B0781E"/>
    <w:rsid w:val="00B1185A"/>
    <w:rsid w:val="00B12EA6"/>
    <w:rsid w:val="00B14670"/>
    <w:rsid w:val="00B1520B"/>
    <w:rsid w:val="00B16459"/>
    <w:rsid w:val="00B1693A"/>
    <w:rsid w:val="00B16B02"/>
    <w:rsid w:val="00B20C67"/>
    <w:rsid w:val="00B211DD"/>
    <w:rsid w:val="00B21770"/>
    <w:rsid w:val="00B307E5"/>
    <w:rsid w:val="00B34C90"/>
    <w:rsid w:val="00B3728A"/>
    <w:rsid w:val="00B447D4"/>
    <w:rsid w:val="00B44C91"/>
    <w:rsid w:val="00B51182"/>
    <w:rsid w:val="00B51E2F"/>
    <w:rsid w:val="00B57D5D"/>
    <w:rsid w:val="00B66F29"/>
    <w:rsid w:val="00B70C1C"/>
    <w:rsid w:val="00B72370"/>
    <w:rsid w:val="00B75F5C"/>
    <w:rsid w:val="00B75FFF"/>
    <w:rsid w:val="00B7717C"/>
    <w:rsid w:val="00B805D9"/>
    <w:rsid w:val="00B80995"/>
    <w:rsid w:val="00B82B3F"/>
    <w:rsid w:val="00B82B7D"/>
    <w:rsid w:val="00B85578"/>
    <w:rsid w:val="00B86F01"/>
    <w:rsid w:val="00B875D2"/>
    <w:rsid w:val="00B94B68"/>
    <w:rsid w:val="00B97705"/>
    <w:rsid w:val="00BA1611"/>
    <w:rsid w:val="00BA413C"/>
    <w:rsid w:val="00BA537F"/>
    <w:rsid w:val="00BA59E3"/>
    <w:rsid w:val="00BB0B51"/>
    <w:rsid w:val="00BB53C3"/>
    <w:rsid w:val="00BB6047"/>
    <w:rsid w:val="00BC16FD"/>
    <w:rsid w:val="00BC24E8"/>
    <w:rsid w:val="00BC6431"/>
    <w:rsid w:val="00BC6B98"/>
    <w:rsid w:val="00BD3B78"/>
    <w:rsid w:val="00BE2737"/>
    <w:rsid w:val="00BE39B3"/>
    <w:rsid w:val="00BE46C5"/>
    <w:rsid w:val="00BE50DC"/>
    <w:rsid w:val="00BF0FD3"/>
    <w:rsid w:val="00BF5A76"/>
    <w:rsid w:val="00BF60EF"/>
    <w:rsid w:val="00C00651"/>
    <w:rsid w:val="00C00990"/>
    <w:rsid w:val="00C03B7D"/>
    <w:rsid w:val="00C04D71"/>
    <w:rsid w:val="00C06064"/>
    <w:rsid w:val="00C10376"/>
    <w:rsid w:val="00C1346B"/>
    <w:rsid w:val="00C13511"/>
    <w:rsid w:val="00C13B99"/>
    <w:rsid w:val="00C14F63"/>
    <w:rsid w:val="00C15960"/>
    <w:rsid w:val="00C22674"/>
    <w:rsid w:val="00C2316B"/>
    <w:rsid w:val="00C25710"/>
    <w:rsid w:val="00C25BEF"/>
    <w:rsid w:val="00C3133E"/>
    <w:rsid w:val="00C31C81"/>
    <w:rsid w:val="00C3379E"/>
    <w:rsid w:val="00C42F2D"/>
    <w:rsid w:val="00C4663B"/>
    <w:rsid w:val="00C47260"/>
    <w:rsid w:val="00C51BD6"/>
    <w:rsid w:val="00C545E8"/>
    <w:rsid w:val="00C54C75"/>
    <w:rsid w:val="00C5654C"/>
    <w:rsid w:val="00C617F0"/>
    <w:rsid w:val="00C75E55"/>
    <w:rsid w:val="00C768F0"/>
    <w:rsid w:val="00C76C8C"/>
    <w:rsid w:val="00C77783"/>
    <w:rsid w:val="00C8578A"/>
    <w:rsid w:val="00C86B1F"/>
    <w:rsid w:val="00C915AC"/>
    <w:rsid w:val="00C91FC7"/>
    <w:rsid w:val="00C94C04"/>
    <w:rsid w:val="00CA004A"/>
    <w:rsid w:val="00CA051E"/>
    <w:rsid w:val="00CA1066"/>
    <w:rsid w:val="00CA1628"/>
    <w:rsid w:val="00CA2EBD"/>
    <w:rsid w:val="00CA422A"/>
    <w:rsid w:val="00CA45E6"/>
    <w:rsid w:val="00CA49E3"/>
    <w:rsid w:val="00CA5696"/>
    <w:rsid w:val="00CA5EA8"/>
    <w:rsid w:val="00CA7889"/>
    <w:rsid w:val="00CB429B"/>
    <w:rsid w:val="00CB630D"/>
    <w:rsid w:val="00CB769D"/>
    <w:rsid w:val="00CC0BC7"/>
    <w:rsid w:val="00CC1341"/>
    <w:rsid w:val="00CC28A0"/>
    <w:rsid w:val="00CD029C"/>
    <w:rsid w:val="00CD3370"/>
    <w:rsid w:val="00CD75E2"/>
    <w:rsid w:val="00CE1C66"/>
    <w:rsid w:val="00CE343B"/>
    <w:rsid w:val="00CE44DB"/>
    <w:rsid w:val="00CE6F23"/>
    <w:rsid w:val="00CF021E"/>
    <w:rsid w:val="00CF044E"/>
    <w:rsid w:val="00D0000D"/>
    <w:rsid w:val="00D108B3"/>
    <w:rsid w:val="00D10EF2"/>
    <w:rsid w:val="00D21822"/>
    <w:rsid w:val="00D23733"/>
    <w:rsid w:val="00D26EEC"/>
    <w:rsid w:val="00D278F8"/>
    <w:rsid w:val="00D31CC3"/>
    <w:rsid w:val="00D404C9"/>
    <w:rsid w:val="00D40F33"/>
    <w:rsid w:val="00D423A2"/>
    <w:rsid w:val="00D435F9"/>
    <w:rsid w:val="00D43897"/>
    <w:rsid w:val="00D50A58"/>
    <w:rsid w:val="00D51232"/>
    <w:rsid w:val="00D521BF"/>
    <w:rsid w:val="00D5308F"/>
    <w:rsid w:val="00D53D51"/>
    <w:rsid w:val="00D53E14"/>
    <w:rsid w:val="00D54B46"/>
    <w:rsid w:val="00D54CED"/>
    <w:rsid w:val="00D55E7C"/>
    <w:rsid w:val="00D62468"/>
    <w:rsid w:val="00D62A40"/>
    <w:rsid w:val="00D62FD1"/>
    <w:rsid w:val="00D632B7"/>
    <w:rsid w:val="00D64FCD"/>
    <w:rsid w:val="00D67045"/>
    <w:rsid w:val="00D715AA"/>
    <w:rsid w:val="00D7569C"/>
    <w:rsid w:val="00D8139E"/>
    <w:rsid w:val="00D86C19"/>
    <w:rsid w:val="00D90149"/>
    <w:rsid w:val="00D902F6"/>
    <w:rsid w:val="00D903E9"/>
    <w:rsid w:val="00D9217F"/>
    <w:rsid w:val="00D944A7"/>
    <w:rsid w:val="00D96A0A"/>
    <w:rsid w:val="00DA12BB"/>
    <w:rsid w:val="00DA14B8"/>
    <w:rsid w:val="00DA28CB"/>
    <w:rsid w:val="00DA2EB3"/>
    <w:rsid w:val="00DA388E"/>
    <w:rsid w:val="00DB189E"/>
    <w:rsid w:val="00DB46B0"/>
    <w:rsid w:val="00DB5242"/>
    <w:rsid w:val="00DB6E0F"/>
    <w:rsid w:val="00DC2442"/>
    <w:rsid w:val="00DC2D98"/>
    <w:rsid w:val="00DD489C"/>
    <w:rsid w:val="00DD6C0F"/>
    <w:rsid w:val="00DE3F30"/>
    <w:rsid w:val="00DE5B82"/>
    <w:rsid w:val="00DE6633"/>
    <w:rsid w:val="00DF2F95"/>
    <w:rsid w:val="00DF4309"/>
    <w:rsid w:val="00DF4DD5"/>
    <w:rsid w:val="00DF7569"/>
    <w:rsid w:val="00E00A3D"/>
    <w:rsid w:val="00E01F01"/>
    <w:rsid w:val="00E02014"/>
    <w:rsid w:val="00E070D0"/>
    <w:rsid w:val="00E231CD"/>
    <w:rsid w:val="00E26B73"/>
    <w:rsid w:val="00E305A5"/>
    <w:rsid w:val="00E36E81"/>
    <w:rsid w:val="00E37E41"/>
    <w:rsid w:val="00E53FFF"/>
    <w:rsid w:val="00E55466"/>
    <w:rsid w:val="00E61802"/>
    <w:rsid w:val="00E62C2D"/>
    <w:rsid w:val="00E63116"/>
    <w:rsid w:val="00E635E6"/>
    <w:rsid w:val="00E643D9"/>
    <w:rsid w:val="00E743DF"/>
    <w:rsid w:val="00E77F1D"/>
    <w:rsid w:val="00E83B49"/>
    <w:rsid w:val="00E86C4C"/>
    <w:rsid w:val="00E878CD"/>
    <w:rsid w:val="00EA1D61"/>
    <w:rsid w:val="00EB1CB1"/>
    <w:rsid w:val="00EB37B0"/>
    <w:rsid w:val="00EB70AC"/>
    <w:rsid w:val="00EC2361"/>
    <w:rsid w:val="00EC2547"/>
    <w:rsid w:val="00EC309F"/>
    <w:rsid w:val="00EC33EA"/>
    <w:rsid w:val="00ED08FA"/>
    <w:rsid w:val="00ED44CF"/>
    <w:rsid w:val="00ED68ED"/>
    <w:rsid w:val="00ED7115"/>
    <w:rsid w:val="00EE2B3B"/>
    <w:rsid w:val="00EE2BB6"/>
    <w:rsid w:val="00EE3035"/>
    <w:rsid w:val="00EE67DE"/>
    <w:rsid w:val="00EF404D"/>
    <w:rsid w:val="00EF5CB0"/>
    <w:rsid w:val="00F00982"/>
    <w:rsid w:val="00F01505"/>
    <w:rsid w:val="00F02EE0"/>
    <w:rsid w:val="00F0336C"/>
    <w:rsid w:val="00F03725"/>
    <w:rsid w:val="00F037E2"/>
    <w:rsid w:val="00F06EAA"/>
    <w:rsid w:val="00F11362"/>
    <w:rsid w:val="00F11536"/>
    <w:rsid w:val="00F14E63"/>
    <w:rsid w:val="00F15DE1"/>
    <w:rsid w:val="00F161C2"/>
    <w:rsid w:val="00F214B6"/>
    <w:rsid w:val="00F21D47"/>
    <w:rsid w:val="00F26920"/>
    <w:rsid w:val="00F31401"/>
    <w:rsid w:val="00F366A3"/>
    <w:rsid w:val="00F36CE2"/>
    <w:rsid w:val="00F37990"/>
    <w:rsid w:val="00F41566"/>
    <w:rsid w:val="00F422AC"/>
    <w:rsid w:val="00F46533"/>
    <w:rsid w:val="00F47947"/>
    <w:rsid w:val="00F542FB"/>
    <w:rsid w:val="00F55A7E"/>
    <w:rsid w:val="00F55E12"/>
    <w:rsid w:val="00F575FF"/>
    <w:rsid w:val="00F57BDF"/>
    <w:rsid w:val="00F607B8"/>
    <w:rsid w:val="00F676B8"/>
    <w:rsid w:val="00F70B85"/>
    <w:rsid w:val="00F7164B"/>
    <w:rsid w:val="00F71F13"/>
    <w:rsid w:val="00F7774A"/>
    <w:rsid w:val="00F82E62"/>
    <w:rsid w:val="00F84D19"/>
    <w:rsid w:val="00F84F93"/>
    <w:rsid w:val="00F9616C"/>
    <w:rsid w:val="00FA37E3"/>
    <w:rsid w:val="00FA4BC8"/>
    <w:rsid w:val="00FA69B9"/>
    <w:rsid w:val="00FB102F"/>
    <w:rsid w:val="00FB13CC"/>
    <w:rsid w:val="00FB4170"/>
    <w:rsid w:val="00FB6072"/>
    <w:rsid w:val="00FB79A9"/>
    <w:rsid w:val="00FB7B90"/>
    <w:rsid w:val="00FC09E0"/>
    <w:rsid w:val="00FC1282"/>
    <w:rsid w:val="00FC31E4"/>
    <w:rsid w:val="00FC4909"/>
    <w:rsid w:val="00FC5941"/>
    <w:rsid w:val="00FC5AB2"/>
    <w:rsid w:val="00FC6B36"/>
    <w:rsid w:val="00FC7271"/>
    <w:rsid w:val="00FD0D48"/>
    <w:rsid w:val="00FD4F99"/>
    <w:rsid w:val="00FD5A14"/>
    <w:rsid w:val="00FD5D4D"/>
    <w:rsid w:val="00FD6987"/>
    <w:rsid w:val="00FD6CDF"/>
    <w:rsid w:val="00FE1507"/>
    <w:rsid w:val="00FE36E5"/>
    <w:rsid w:val="00FE526C"/>
    <w:rsid w:val="00FE5972"/>
    <w:rsid w:val="00FE5A56"/>
    <w:rsid w:val="00FE75DE"/>
    <w:rsid w:val="00FF09B2"/>
    <w:rsid w:val="00FF0C29"/>
    <w:rsid w:val="00FF2450"/>
    <w:rsid w:val="00FF30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7884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he-IL"/>
      </w:rPr>
    </w:rPrDefault>
    <w:pPrDefault/>
  </w:docDefaults>
  <w:latentStyles w:defLockedState="0" w:defUIPriority="99" w:defSemiHidden="0" w:defUnhideWhenUsed="0" w:defQFormat="0" w:count="371">
    <w:lsdException w:name="Normal" w:uiPriority="59"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49" w:unhideWhenUsed="1" w:qFormat="1"/>
    <w:lsdException w:name="List Bullet" w:uiPriority="39" w:unhideWhenUsed="1" w:qFormat="1"/>
    <w:lsdException w:name="List Number" w:semiHidden="1"/>
    <w:lsdException w:name="List 2" w:uiPriority="49" w:unhideWhenUsed="1" w:qFormat="1"/>
    <w:lsdException w:name="List 3" w:semiHidden="1" w:unhideWhenUsed="1"/>
    <w:lsdException w:name="List 4" w:semiHidden="1"/>
    <w:lsdException w:name="List 5" w:semiHidden="1"/>
    <w:lsdException w:name="List Bullet 2" w:uiPriority="39" w:unhideWhenUsed="1" w:qFormat="1"/>
    <w:lsdException w:name="List Bullet 3" w:uiPriority="3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uiPriority="9" w:unhideWhenUsed="1" w:qFormat="1"/>
    <w:lsdException w:name="Body Text Indent" w:semiHidden="1" w:uiPriority="9" w:unhideWhenUsed="1" w:qFormat="1"/>
    <w:lsdException w:name="List Continue" w:uiPriority="49" w:unhideWhenUsed="1" w:qFormat="1"/>
    <w:lsdException w:name="List Continue 2" w:uiPriority="4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4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9"/>
    <w:qFormat/>
    <w:rsid w:val="00DB5242"/>
  </w:style>
  <w:style w:type="paragraph" w:styleId="Heading1">
    <w:name w:val="heading 1"/>
    <w:basedOn w:val="Normal"/>
    <w:next w:val="Heading2"/>
    <w:link w:val="Heading1Char"/>
    <w:uiPriority w:val="29"/>
    <w:qFormat/>
    <w:rsid w:val="00D43897"/>
    <w:pPr>
      <w:keepNext/>
      <w:keepLines/>
      <w:numPr>
        <w:numId w:val="9"/>
      </w:numPr>
      <w:spacing w:after="240" w:line="276" w:lineRule="auto"/>
      <w:jc w:val="center"/>
      <w:outlineLvl w:val="0"/>
    </w:pPr>
    <w:rPr>
      <w:rFonts w:eastAsiaTheme="majorEastAsia" w:cstheme="majorBidi"/>
      <w:b/>
      <w:bCs/>
      <w:smallCaps/>
      <w:szCs w:val="28"/>
    </w:rPr>
  </w:style>
  <w:style w:type="paragraph" w:styleId="Heading2">
    <w:name w:val="heading 2"/>
    <w:basedOn w:val="Normal"/>
    <w:link w:val="Heading2Char"/>
    <w:uiPriority w:val="29"/>
    <w:qFormat/>
    <w:rsid w:val="00D43897"/>
    <w:pPr>
      <w:numPr>
        <w:ilvl w:val="1"/>
        <w:numId w:val="9"/>
      </w:numPr>
      <w:spacing w:after="240"/>
      <w:outlineLvl w:val="1"/>
    </w:pPr>
    <w:rPr>
      <w:rFonts w:eastAsiaTheme="majorEastAsia" w:cstheme="majorBidi"/>
      <w:bCs/>
      <w:szCs w:val="26"/>
    </w:rPr>
  </w:style>
  <w:style w:type="paragraph" w:styleId="Heading3">
    <w:name w:val="heading 3"/>
    <w:basedOn w:val="Normal"/>
    <w:link w:val="Heading3Char"/>
    <w:uiPriority w:val="29"/>
    <w:qFormat/>
    <w:rsid w:val="00D43897"/>
    <w:pPr>
      <w:numPr>
        <w:ilvl w:val="2"/>
        <w:numId w:val="9"/>
      </w:numPr>
      <w:tabs>
        <w:tab w:val="left" w:pos="1300"/>
      </w:tabs>
      <w:spacing w:after="240"/>
      <w:outlineLvl w:val="2"/>
    </w:pPr>
    <w:rPr>
      <w:rFonts w:eastAsiaTheme="majorEastAsia" w:cstheme="majorBidi"/>
      <w:bCs/>
    </w:rPr>
  </w:style>
  <w:style w:type="paragraph" w:styleId="Heading4">
    <w:name w:val="heading 4"/>
    <w:basedOn w:val="Normal"/>
    <w:link w:val="Heading4Char"/>
    <w:uiPriority w:val="29"/>
    <w:qFormat/>
    <w:rsid w:val="00D43897"/>
    <w:pPr>
      <w:numPr>
        <w:ilvl w:val="3"/>
        <w:numId w:val="9"/>
      </w:numPr>
      <w:tabs>
        <w:tab w:val="left" w:pos="2160"/>
      </w:tabs>
      <w:spacing w:after="240"/>
      <w:outlineLvl w:val="3"/>
    </w:pPr>
    <w:rPr>
      <w:rFonts w:eastAsiaTheme="majorEastAsia" w:cstheme="majorBidi"/>
      <w:bCs/>
      <w:iCs/>
    </w:rPr>
  </w:style>
  <w:style w:type="paragraph" w:styleId="Heading5">
    <w:name w:val="heading 5"/>
    <w:basedOn w:val="Normal"/>
    <w:link w:val="Heading5Char"/>
    <w:uiPriority w:val="29"/>
    <w:qFormat/>
    <w:rsid w:val="00D43897"/>
    <w:pPr>
      <w:numPr>
        <w:ilvl w:val="4"/>
        <w:numId w:val="9"/>
      </w:numPr>
      <w:tabs>
        <w:tab w:val="left" w:pos="3020"/>
      </w:tabs>
      <w:spacing w:after="240"/>
      <w:outlineLvl w:val="4"/>
    </w:pPr>
    <w:rPr>
      <w:rFonts w:eastAsiaTheme="majorEastAsia" w:cstheme="majorBidi"/>
    </w:rPr>
  </w:style>
  <w:style w:type="paragraph" w:styleId="Heading6">
    <w:name w:val="heading 6"/>
    <w:basedOn w:val="Normal"/>
    <w:link w:val="Heading6Char"/>
    <w:uiPriority w:val="29"/>
    <w:qFormat/>
    <w:rsid w:val="00D43897"/>
    <w:pPr>
      <w:numPr>
        <w:ilvl w:val="5"/>
        <w:numId w:val="9"/>
      </w:numPr>
      <w:tabs>
        <w:tab w:val="left" w:pos="3960"/>
      </w:tabs>
      <w:spacing w:after="240"/>
      <w:outlineLvl w:val="5"/>
    </w:pPr>
    <w:rPr>
      <w:rFonts w:eastAsiaTheme="majorEastAsia" w:cstheme="majorBidi"/>
      <w:iCs/>
    </w:rPr>
  </w:style>
  <w:style w:type="paragraph" w:styleId="Heading7">
    <w:name w:val="heading 7"/>
    <w:basedOn w:val="Normal"/>
    <w:next w:val="BodyText"/>
    <w:link w:val="Heading7Char"/>
    <w:uiPriority w:val="29"/>
    <w:qFormat/>
    <w:rsid w:val="00D43897"/>
    <w:pPr>
      <w:numPr>
        <w:ilvl w:val="6"/>
        <w:numId w:val="9"/>
      </w:numPr>
      <w:spacing w:after="240"/>
      <w:jc w:val="center"/>
      <w:outlineLvl w:val="6"/>
    </w:pPr>
    <w:rPr>
      <w:rFonts w:eastAsiaTheme="majorEastAsia" w:cstheme="majorBidi"/>
      <w:b/>
      <w:iCs/>
    </w:rPr>
  </w:style>
  <w:style w:type="paragraph" w:styleId="Heading8">
    <w:name w:val="heading 8"/>
    <w:basedOn w:val="Normal"/>
    <w:next w:val="BodyText"/>
    <w:link w:val="Heading8Char"/>
    <w:uiPriority w:val="29"/>
    <w:qFormat/>
    <w:rsid w:val="00D43897"/>
    <w:pPr>
      <w:numPr>
        <w:ilvl w:val="7"/>
        <w:numId w:val="9"/>
      </w:numPr>
      <w:spacing w:after="240"/>
      <w:jc w:val="center"/>
      <w:outlineLvl w:val="7"/>
    </w:pPr>
    <w:rPr>
      <w:rFonts w:eastAsiaTheme="majorEastAsia" w:cstheme="majorBidi"/>
      <w:b/>
      <w:szCs w:val="20"/>
    </w:rPr>
  </w:style>
  <w:style w:type="paragraph" w:styleId="Heading9">
    <w:name w:val="heading 9"/>
    <w:basedOn w:val="Normal"/>
    <w:next w:val="BodyText"/>
    <w:link w:val="Heading9Char"/>
    <w:uiPriority w:val="29"/>
    <w:qFormat/>
    <w:rsid w:val="00D43897"/>
    <w:pPr>
      <w:numPr>
        <w:ilvl w:val="8"/>
        <w:numId w:val="9"/>
      </w:numPr>
      <w:spacing w:after="240"/>
      <w:jc w:val="center"/>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FC7271"/>
    <w:pPr>
      <w:spacing w:after="240"/>
      <w:ind w:firstLine="720"/>
    </w:pPr>
  </w:style>
  <w:style w:type="character" w:customStyle="1" w:styleId="BodyTextChar">
    <w:name w:val="Body Text Char"/>
    <w:basedOn w:val="DefaultParagraphFont"/>
    <w:link w:val="BodyText"/>
    <w:uiPriority w:val="9"/>
    <w:rsid w:val="00FC7271"/>
  </w:style>
  <w:style w:type="paragraph" w:customStyle="1" w:styleId="BodyTextDouble">
    <w:name w:val="Body Text Double"/>
    <w:basedOn w:val="Normal"/>
    <w:uiPriority w:val="9"/>
    <w:qFormat/>
    <w:rsid w:val="00B16B02"/>
    <w:pPr>
      <w:spacing w:line="480" w:lineRule="auto"/>
      <w:ind w:firstLine="720"/>
    </w:pPr>
  </w:style>
  <w:style w:type="paragraph" w:styleId="BlockText">
    <w:name w:val="Block Text"/>
    <w:basedOn w:val="Normal"/>
    <w:link w:val="BlockTextChar"/>
    <w:uiPriority w:val="49"/>
    <w:qFormat/>
    <w:rsid w:val="00FC7271"/>
    <w:pPr>
      <w:spacing w:after="240"/>
      <w:ind w:left="1440" w:right="1440"/>
    </w:pPr>
    <w:rPr>
      <w:rFonts w:eastAsiaTheme="minorEastAsia"/>
      <w:iCs/>
    </w:rPr>
  </w:style>
  <w:style w:type="paragraph" w:customStyle="1" w:styleId="BodyTextNoIndent">
    <w:name w:val="Body Text No Indent"/>
    <w:basedOn w:val="Normal"/>
    <w:uiPriority w:val="9"/>
    <w:qFormat/>
    <w:rsid w:val="00B16B02"/>
    <w:pPr>
      <w:spacing w:after="240"/>
    </w:pPr>
  </w:style>
  <w:style w:type="character" w:customStyle="1" w:styleId="BlockTextChar">
    <w:name w:val="Block Text Char"/>
    <w:basedOn w:val="DefaultParagraphFont"/>
    <w:link w:val="BlockText"/>
    <w:uiPriority w:val="49"/>
    <w:rsid w:val="00FC7271"/>
    <w:rPr>
      <w:rFonts w:eastAsiaTheme="minorEastAsia"/>
      <w:iCs/>
    </w:rPr>
  </w:style>
  <w:style w:type="paragraph" w:customStyle="1" w:styleId="TitleCenter">
    <w:name w:val="Title Center"/>
    <w:basedOn w:val="Normal"/>
    <w:next w:val="BodyText"/>
    <w:uiPriority w:val="19"/>
    <w:qFormat/>
    <w:rsid w:val="00FC7271"/>
    <w:pPr>
      <w:keepNext/>
      <w:spacing w:after="240"/>
      <w:jc w:val="center"/>
    </w:pPr>
  </w:style>
  <w:style w:type="paragraph" w:customStyle="1" w:styleId="BlockTextDouble">
    <w:name w:val="Block Text Double"/>
    <w:basedOn w:val="Normal"/>
    <w:uiPriority w:val="49"/>
    <w:qFormat/>
    <w:rsid w:val="00B16B02"/>
    <w:pPr>
      <w:spacing w:line="480" w:lineRule="auto"/>
      <w:ind w:left="1440" w:right="1440"/>
    </w:pPr>
  </w:style>
  <w:style w:type="paragraph" w:customStyle="1" w:styleId="TitleCenterBold">
    <w:name w:val="Title Center Bold"/>
    <w:basedOn w:val="Normal"/>
    <w:next w:val="BodyText"/>
    <w:uiPriority w:val="19"/>
    <w:qFormat/>
    <w:rsid w:val="00FC7271"/>
    <w:pPr>
      <w:keepNext/>
      <w:spacing w:after="240"/>
      <w:jc w:val="center"/>
    </w:pPr>
    <w:rPr>
      <w:b/>
    </w:rPr>
  </w:style>
  <w:style w:type="paragraph" w:customStyle="1" w:styleId="TitleLeftBold">
    <w:name w:val="Title Left Bold"/>
    <w:basedOn w:val="Normal"/>
    <w:next w:val="BodyText"/>
    <w:uiPriority w:val="19"/>
    <w:qFormat/>
    <w:rsid w:val="00FC7271"/>
    <w:pPr>
      <w:keepNext/>
      <w:spacing w:after="240"/>
    </w:pPr>
    <w:rPr>
      <w:b/>
    </w:rPr>
  </w:style>
  <w:style w:type="paragraph" w:customStyle="1" w:styleId="TitleLeftBoldItal">
    <w:name w:val="Title Left Bold Ital"/>
    <w:basedOn w:val="Normal"/>
    <w:next w:val="BodyText"/>
    <w:uiPriority w:val="19"/>
    <w:qFormat/>
    <w:rsid w:val="00FC7271"/>
    <w:pPr>
      <w:keepNext/>
      <w:spacing w:after="240"/>
    </w:pPr>
    <w:rPr>
      <w:b/>
      <w:i/>
    </w:rPr>
  </w:style>
  <w:style w:type="paragraph" w:customStyle="1" w:styleId="TitleRightBold">
    <w:name w:val="Title Right Bold"/>
    <w:basedOn w:val="Normal"/>
    <w:next w:val="BodyText"/>
    <w:uiPriority w:val="19"/>
    <w:qFormat/>
    <w:rsid w:val="00FC7271"/>
    <w:pPr>
      <w:keepNext/>
      <w:spacing w:after="240"/>
      <w:jc w:val="right"/>
    </w:pPr>
    <w:rPr>
      <w:b/>
    </w:rPr>
  </w:style>
  <w:style w:type="paragraph" w:styleId="Header">
    <w:name w:val="header"/>
    <w:basedOn w:val="Normal"/>
    <w:link w:val="HeaderChar"/>
    <w:uiPriority w:val="9"/>
    <w:rsid w:val="00E02014"/>
    <w:pPr>
      <w:tabs>
        <w:tab w:val="center" w:pos="4680"/>
        <w:tab w:val="right" w:pos="9360"/>
      </w:tabs>
    </w:pPr>
  </w:style>
  <w:style w:type="character" w:customStyle="1" w:styleId="HeaderChar">
    <w:name w:val="Header Char"/>
    <w:basedOn w:val="DefaultParagraphFont"/>
    <w:link w:val="Header"/>
    <w:uiPriority w:val="9"/>
    <w:rsid w:val="00F9616C"/>
  </w:style>
  <w:style w:type="paragraph" w:styleId="Footer">
    <w:name w:val="footer"/>
    <w:basedOn w:val="Normal"/>
    <w:link w:val="FooterChar"/>
    <w:uiPriority w:val="99"/>
    <w:rsid w:val="00D67045"/>
    <w:pPr>
      <w:jc w:val="center"/>
    </w:pPr>
  </w:style>
  <w:style w:type="character" w:customStyle="1" w:styleId="FooterChar">
    <w:name w:val="Footer Char"/>
    <w:basedOn w:val="DefaultParagraphFont"/>
    <w:link w:val="Footer"/>
    <w:uiPriority w:val="99"/>
    <w:rsid w:val="00F9616C"/>
  </w:style>
  <w:style w:type="paragraph" w:styleId="ListBullet">
    <w:name w:val="List Bullet"/>
    <w:basedOn w:val="Normal"/>
    <w:uiPriority w:val="39"/>
    <w:qFormat/>
    <w:rsid w:val="00FC7271"/>
    <w:pPr>
      <w:numPr>
        <w:numId w:val="2"/>
      </w:numPr>
      <w:spacing w:after="240"/>
    </w:pPr>
  </w:style>
  <w:style w:type="paragraph" w:styleId="FootnoteText">
    <w:name w:val="footnote text"/>
    <w:basedOn w:val="Normal"/>
    <w:link w:val="FootnoteTextChar"/>
    <w:rsid w:val="00D31CC3"/>
    <w:pPr>
      <w:spacing w:after="200"/>
      <w:ind w:firstLine="720"/>
    </w:pPr>
    <w:rPr>
      <w:sz w:val="20"/>
      <w:szCs w:val="20"/>
    </w:rPr>
  </w:style>
  <w:style w:type="character" w:customStyle="1" w:styleId="FootnoteTextChar">
    <w:name w:val="Footnote Text Char"/>
    <w:basedOn w:val="DefaultParagraphFont"/>
    <w:link w:val="FootnoteText"/>
    <w:rsid w:val="00F9616C"/>
    <w:rPr>
      <w:sz w:val="20"/>
      <w:szCs w:val="20"/>
    </w:rPr>
  </w:style>
  <w:style w:type="paragraph" w:styleId="ListBullet2">
    <w:name w:val="List Bullet 2"/>
    <w:basedOn w:val="Normal"/>
    <w:uiPriority w:val="39"/>
    <w:qFormat/>
    <w:rsid w:val="00FC7271"/>
    <w:pPr>
      <w:numPr>
        <w:numId w:val="4"/>
      </w:numPr>
      <w:spacing w:after="240"/>
    </w:pPr>
  </w:style>
  <w:style w:type="paragraph" w:styleId="ListBullet3">
    <w:name w:val="List Bullet 3"/>
    <w:basedOn w:val="Normal"/>
    <w:uiPriority w:val="39"/>
    <w:qFormat/>
    <w:rsid w:val="00FC7271"/>
    <w:pPr>
      <w:numPr>
        <w:numId w:val="5"/>
      </w:numPr>
      <w:spacing w:after="240"/>
    </w:pPr>
  </w:style>
  <w:style w:type="paragraph" w:styleId="List">
    <w:name w:val="List"/>
    <w:basedOn w:val="Normal"/>
    <w:uiPriority w:val="49"/>
    <w:semiHidden/>
    <w:qFormat/>
    <w:rsid w:val="00FC7271"/>
    <w:pPr>
      <w:numPr>
        <w:numId w:val="1"/>
      </w:numPr>
    </w:pPr>
  </w:style>
  <w:style w:type="paragraph" w:styleId="List2">
    <w:name w:val="List 2"/>
    <w:basedOn w:val="Normal"/>
    <w:uiPriority w:val="49"/>
    <w:semiHidden/>
    <w:qFormat/>
    <w:rsid w:val="00FC7271"/>
    <w:pPr>
      <w:numPr>
        <w:numId w:val="3"/>
      </w:numPr>
    </w:pPr>
  </w:style>
  <w:style w:type="paragraph" w:styleId="ListContinue">
    <w:name w:val="List Continue"/>
    <w:basedOn w:val="Normal"/>
    <w:uiPriority w:val="49"/>
    <w:semiHidden/>
    <w:qFormat/>
    <w:rsid w:val="00FC7271"/>
    <w:pPr>
      <w:spacing w:after="120"/>
      <w:ind w:left="720" w:hanging="360"/>
    </w:pPr>
  </w:style>
  <w:style w:type="paragraph" w:styleId="ListContinue2">
    <w:name w:val="List Continue 2"/>
    <w:basedOn w:val="Normal"/>
    <w:uiPriority w:val="49"/>
    <w:semiHidden/>
    <w:qFormat/>
    <w:rsid w:val="00FC7271"/>
    <w:pPr>
      <w:tabs>
        <w:tab w:val="left" w:pos="1440"/>
      </w:tabs>
      <w:spacing w:after="120"/>
      <w:ind w:left="1440" w:hanging="720"/>
    </w:pPr>
  </w:style>
  <w:style w:type="character" w:customStyle="1" w:styleId="Heading1Char">
    <w:name w:val="Heading 1 Char"/>
    <w:basedOn w:val="DefaultParagraphFont"/>
    <w:link w:val="Heading1"/>
    <w:uiPriority w:val="29"/>
    <w:rsid w:val="00D43897"/>
    <w:rPr>
      <w:rFonts w:eastAsiaTheme="majorEastAsia" w:cstheme="majorBidi"/>
      <w:b/>
      <w:bCs/>
      <w:smallCaps/>
      <w:szCs w:val="28"/>
    </w:rPr>
  </w:style>
  <w:style w:type="character" w:customStyle="1" w:styleId="Heading2Char">
    <w:name w:val="Heading 2 Char"/>
    <w:basedOn w:val="DefaultParagraphFont"/>
    <w:link w:val="Heading2"/>
    <w:uiPriority w:val="29"/>
    <w:rsid w:val="00D43897"/>
    <w:rPr>
      <w:rFonts w:eastAsiaTheme="majorEastAsia" w:cstheme="majorBidi"/>
      <w:bCs/>
      <w:szCs w:val="26"/>
    </w:rPr>
  </w:style>
  <w:style w:type="character" w:customStyle="1" w:styleId="Heading3Char">
    <w:name w:val="Heading 3 Char"/>
    <w:basedOn w:val="DefaultParagraphFont"/>
    <w:link w:val="Heading3"/>
    <w:uiPriority w:val="29"/>
    <w:rsid w:val="00D43897"/>
    <w:rPr>
      <w:rFonts w:eastAsiaTheme="majorEastAsia" w:cstheme="majorBidi"/>
      <w:bCs/>
    </w:rPr>
  </w:style>
  <w:style w:type="paragraph" w:styleId="Title">
    <w:name w:val="Title"/>
    <w:basedOn w:val="Normal"/>
    <w:next w:val="BodyText"/>
    <w:link w:val="TitleChar"/>
    <w:uiPriority w:val="19"/>
    <w:qFormat/>
    <w:rsid w:val="00FC7271"/>
    <w:pPr>
      <w:keepNext/>
      <w:spacing w:after="240"/>
      <w:contextualSpacing/>
    </w:pPr>
    <w:rPr>
      <w:rFonts w:eastAsiaTheme="majorEastAsia" w:cstheme="majorBidi"/>
      <w:szCs w:val="52"/>
    </w:rPr>
  </w:style>
  <w:style w:type="character" w:customStyle="1" w:styleId="TitleChar">
    <w:name w:val="Title Char"/>
    <w:basedOn w:val="DefaultParagraphFont"/>
    <w:link w:val="Title"/>
    <w:uiPriority w:val="19"/>
    <w:rsid w:val="000B2EA5"/>
    <w:rPr>
      <w:rFonts w:eastAsiaTheme="majorEastAsia" w:cstheme="majorBidi"/>
      <w:szCs w:val="52"/>
    </w:rPr>
  </w:style>
  <w:style w:type="character" w:customStyle="1" w:styleId="Heading4Char">
    <w:name w:val="Heading 4 Char"/>
    <w:basedOn w:val="DefaultParagraphFont"/>
    <w:link w:val="Heading4"/>
    <w:uiPriority w:val="29"/>
    <w:rsid w:val="00D43897"/>
    <w:rPr>
      <w:rFonts w:eastAsiaTheme="majorEastAsia" w:cstheme="majorBidi"/>
      <w:bCs/>
      <w:iCs/>
    </w:rPr>
  </w:style>
  <w:style w:type="character" w:customStyle="1" w:styleId="Heading5Char">
    <w:name w:val="Heading 5 Char"/>
    <w:basedOn w:val="DefaultParagraphFont"/>
    <w:link w:val="Heading5"/>
    <w:uiPriority w:val="29"/>
    <w:rsid w:val="00D43897"/>
    <w:rPr>
      <w:rFonts w:eastAsiaTheme="majorEastAsia" w:cstheme="majorBidi"/>
    </w:rPr>
  </w:style>
  <w:style w:type="character" w:customStyle="1" w:styleId="Heading6Char">
    <w:name w:val="Heading 6 Char"/>
    <w:basedOn w:val="DefaultParagraphFont"/>
    <w:link w:val="Heading6"/>
    <w:uiPriority w:val="29"/>
    <w:rsid w:val="00D43897"/>
    <w:rPr>
      <w:rFonts w:eastAsiaTheme="majorEastAsia" w:cstheme="majorBidi"/>
      <w:iCs/>
    </w:rPr>
  </w:style>
  <w:style w:type="character" w:customStyle="1" w:styleId="Heading7Char">
    <w:name w:val="Heading 7 Char"/>
    <w:basedOn w:val="DefaultParagraphFont"/>
    <w:link w:val="Heading7"/>
    <w:uiPriority w:val="29"/>
    <w:rsid w:val="00D43897"/>
    <w:rPr>
      <w:rFonts w:eastAsiaTheme="majorEastAsia" w:cstheme="majorBidi"/>
      <w:b/>
      <w:iCs/>
    </w:rPr>
  </w:style>
  <w:style w:type="character" w:customStyle="1" w:styleId="Heading8Char">
    <w:name w:val="Heading 8 Char"/>
    <w:basedOn w:val="DefaultParagraphFont"/>
    <w:link w:val="Heading8"/>
    <w:uiPriority w:val="29"/>
    <w:rsid w:val="00D43897"/>
    <w:rPr>
      <w:rFonts w:eastAsiaTheme="majorEastAsia" w:cstheme="majorBidi"/>
      <w:b/>
      <w:szCs w:val="20"/>
    </w:rPr>
  </w:style>
  <w:style w:type="character" w:customStyle="1" w:styleId="Heading9Char">
    <w:name w:val="Heading 9 Char"/>
    <w:basedOn w:val="DefaultParagraphFont"/>
    <w:link w:val="Heading9"/>
    <w:uiPriority w:val="29"/>
    <w:rsid w:val="00D43897"/>
    <w:rPr>
      <w:rFonts w:eastAsiaTheme="majorEastAsia" w:cstheme="majorBidi"/>
      <w:b/>
      <w:iCs/>
      <w:szCs w:val="20"/>
    </w:rPr>
  </w:style>
  <w:style w:type="paragraph" w:styleId="TOC1">
    <w:name w:val="toc 1"/>
    <w:basedOn w:val="Normal"/>
    <w:next w:val="Normal"/>
    <w:uiPriority w:val="39"/>
    <w:semiHidden/>
    <w:rsid w:val="003F597C"/>
  </w:style>
  <w:style w:type="paragraph" w:styleId="TOC2">
    <w:name w:val="toc 2"/>
    <w:basedOn w:val="Normal"/>
    <w:next w:val="Normal"/>
    <w:uiPriority w:val="39"/>
    <w:semiHidden/>
    <w:rsid w:val="003F597C"/>
    <w:pPr>
      <w:ind w:left="245"/>
    </w:pPr>
  </w:style>
  <w:style w:type="paragraph" w:styleId="TOC3">
    <w:name w:val="toc 3"/>
    <w:basedOn w:val="Normal"/>
    <w:next w:val="Normal"/>
    <w:uiPriority w:val="39"/>
    <w:semiHidden/>
    <w:rsid w:val="003F597C"/>
    <w:pPr>
      <w:ind w:left="475"/>
    </w:pPr>
  </w:style>
  <w:style w:type="paragraph" w:styleId="TOC4">
    <w:name w:val="toc 4"/>
    <w:basedOn w:val="Normal"/>
    <w:next w:val="Normal"/>
    <w:uiPriority w:val="39"/>
    <w:semiHidden/>
    <w:rsid w:val="003F597C"/>
    <w:pPr>
      <w:ind w:left="720"/>
    </w:pPr>
  </w:style>
  <w:style w:type="paragraph" w:styleId="TOC5">
    <w:name w:val="toc 5"/>
    <w:basedOn w:val="Normal"/>
    <w:next w:val="Normal"/>
    <w:uiPriority w:val="39"/>
    <w:semiHidden/>
    <w:rsid w:val="003F597C"/>
    <w:pPr>
      <w:ind w:left="965"/>
    </w:pPr>
  </w:style>
  <w:style w:type="paragraph" w:styleId="TOC6">
    <w:name w:val="toc 6"/>
    <w:basedOn w:val="Normal"/>
    <w:next w:val="Normal"/>
    <w:uiPriority w:val="39"/>
    <w:semiHidden/>
    <w:rsid w:val="003F597C"/>
    <w:pPr>
      <w:ind w:left="1195"/>
    </w:pPr>
  </w:style>
  <w:style w:type="paragraph" w:styleId="TOC7">
    <w:name w:val="toc 7"/>
    <w:basedOn w:val="Normal"/>
    <w:next w:val="Normal"/>
    <w:uiPriority w:val="39"/>
    <w:semiHidden/>
    <w:rsid w:val="003F597C"/>
    <w:pPr>
      <w:ind w:left="1440"/>
    </w:pPr>
  </w:style>
  <w:style w:type="paragraph" w:styleId="TOC8">
    <w:name w:val="toc 8"/>
    <w:basedOn w:val="Normal"/>
    <w:next w:val="Normal"/>
    <w:uiPriority w:val="39"/>
    <w:semiHidden/>
    <w:rsid w:val="003F597C"/>
    <w:pPr>
      <w:ind w:left="1685"/>
    </w:pPr>
  </w:style>
  <w:style w:type="paragraph" w:styleId="TOC9">
    <w:name w:val="toc 9"/>
    <w:basedOn w:val="Normal"/>
    <w:next w:val="Normal"/>
    <w:uiPriority w:val="39"/>
    <w:semiHidden/>
    <w:rsid w:val="003F597C"/>
    <w:pPr>
      <w:ind w:left="1915"/>
    </w:pPr>
  </w:style>
  <w:style w:type="character" w:styleId="FootnoteReference">
    <w:name w:val="footnote reference"/>
    <w:basedOn w:val="DefaultParagraphFont"/>
    <w:rsid w:val="003D56B9"/>
    <w:rPr>
      <w:vertAlign w:val="superscript"/>
    </w:rPr>
  </w:style>
  <w:style w:type="table" w:styleId="TableGrid">
    <w:name w:val="Table Grid"/>
    <w:basedOn w:val="TableNormal"/>
    <w:uiPriority w:val="59"/>
    <w:rsid w:val="00E55466"/>
    <w:tblPr/>
  </w:style>
  <w:style w:type="paragraph" w:styleId="BodyTextFirstIndent">
    <w:name w:val="Body Text First Indent"/>
    <w:basedOn w:val="BodyText"/>
    <w:link w:val="BodyTextFirstIndentChar"/>
    <w:uiPriority w:val="99"/>
    <w:semiHidden/>
    <w:rsid w:val="00DB5242"/>
    <w:pPr>
      <w:ind w:firstLine="360"/>
    </w:pPr>
  </w:style>
  <w:style w:type="character" w:customStyle="1" w:styleId="BodyTextFirstIndentChar">
    <w:name w:val="Body Text First Indent Char"/>
    <w:basedOn w:val="BodyTextChar"/>
    <w:link w:val="BodyTextFirstIndent"/>
    <w:uiPriority w:val="99"/>
    <w:semiHidden/>
    <w:rsid w:val="00DB5242"/>
  </w:style>
  <w:style w:type="paragraph" w:styleId="BodyTextIndent">
    <w:name w:val="Body Text Indent"/>
    <w:basedOn w:val="Normal"/>
    <w:link w:val="BodyTextIndentChar"/>
    <w:uiPriority w:val="9"/>
    <w:qFormat/>
    <w:rsid w:val="00927EE0"/>
    <w:pPr>
      <w:spacing w:after="240"/>
      <w:ind w:left="1440"/>
    </w:pPr>
  </w:style>
  <w:style w:type="character" w:customStyle="1" w:styleId="BodyTextIndentChar">
    <w:name w:val="Body Text Indent Char"/>
    <w:basedOn w:val="DefaultParagraphFont"/>
    <w:link w:val="BodyTextIndent"/>
    <w:uiPriority w:val="9"/>
    <w:rsid w:val="00927EE0"/>
  </w:style>
  <w:style w:type="paragraph" w:styleId="BodyTextFirstIndent2">
    <w:name w:val="Body Text First Indent 2"/>
    <w:basedOn w:val="BodyTextIndent"/>
    <w:link w:val="BodyTextFirstIndent2Char"/>
    <w:uiPriority w:val="99"/>
    <w:semiHidden/>
    <w:rsid w:val="00DB5242"/>
    <w:pPr>
      <w:ind w:firstLine="360"/>
    </w:pPr>
  </w:style>
  <w:style w:type="character" w:customStyle="1" w:styleId="BodyTextFirstIndent2Char">
    <w:name w:val="Body Text First Indent 2 Char"/>
    <w:basedOn w:val="BodyTextIndentChar"/>
    <w:link w:val="BodyTextFirstIndent2"/>
    <w:uiPriority w:val="99"/>
    <w:semiHidden/>
    <w:rsid w:val="00DB5242"/>
  </w:style>
  <w:style w:type="paragraph" w:customStyle="1" w:styleId="BodyTextHangIndent">
    <w:name w:val="Body Text Hang Indent"/>
    <w:basedOn w:val="Normal"/>
    <w:uiPriority w:val="14"/>
    <w:qFormat/>
    <w:rsid w:val="00DB5242"/>
    <w:pPr>
      <w:spacing w:after="240"/>
      <w:ind w:left="1440" w:hanging="720"/>
    </w:pPr>
  </w:style>
  <w:style w:type="paragraph" w:customStyle="1" w:styleId="BodyTextHangIndent2">
    <w:name w:val="Body Text Hang Indent 2"/>
    <w:basedOn w:val="Normal"/>
    <w:uiPriority w:val="14"/>
    <w:qFormat/>
    <w:rsid w:val="00DB5242"/>
    <w:pPr>
      <w:spacing w:after="240"/>
      <w:ind w:left="2160" w:hanging="720"/>
    </w:pPr>
  </w:style>
  <w:style w:type="paragraph" w:styleId="BalloonText">
    <w:name w:val="Balloon Text"/>
    <w:basedOn w:val="Normal"/>
    <w:link w:val="BalloonTextChar"/>
    <w:uiPriority w:val="99"/>
    <w:semiHidden/>
    <w:rsid w:val="00667755"/>
    <w:rPr>
      <w:rFonts w:ascii="Tahoma" w:hAnsi="Tahoma" w:cs="Tahoma"/>
      <w:sz w:val="16"/>
      <w:szCs w:val="16"/>
    </w:rPr>
  </w:style>
  <w:style w:type="character" w:customStyle="1" w:styleId="BalloonTextChar">
    <w:name w:val="Balloon Text Char"/>
    <w:basedOn w:val="DefaultParagraphFont"/>
    <w:link w:val="BalloonText"/>
    <w:uiPriority w:val="99"/>
    <w:semiHidden/>
    <w:rsid w:val="00667755"/>
    <w:rPr>
      <w:rFonts w:ascii="Tahoma" w:hAnsi="Tahoma" w:cs="Tahoma"/>
      <w:sz w:val="16"/>
      <w:szCs w:val="16"/>
    </w:rPr>
  </w:style>
  <w:style w:type="paragraph" w:customStyle="1" w:styleId="HeaderNote">
    <w:name w:val="HeaderNote"/>
    <w:basedOn w:val="Normal"/>
    <w:link w:val="HeaderNoteChar"/>
    <w:rsid w:val="002A71F9"/>
    <w:pPr>
      <w:jc w:val="right"/>
    </w:pPr>
    <w:rPr>
      <w:rFonts w:ascii="Arial" w:hAnsi="Arial" w:cs="Arial"/>
      <w:b/>
      <w:caps/>
      <w:spacing w:val="25"/>
      <w:sz w:val="17"/>
    </w:rPr>
  </w:style>
  <w:style w:type="character" w:customStyle="1" w:styleId="HeaderNoteChar">
    <w:name w:val="HeaderNote Char"/>
    <w:basedOn w:val="HeaderChar"/>
    <w:link w:val="HeaderNote"/>
    <w:rsid w:val="002A71F9"/>
    <w:rPr>
      <w:rFonts w:ascii="Arial" w:hAnsi="Arial" w:cs="Arial"/>
      <w:b/>
      <w:caps/>
      <w:spacing w:val="25"/>
      <w:sz w:val="17"/>
    </w:rPr>
  </w:style>
  <w:style w:type="paragraph" w:styleId="ListParagraph">
    <w:name w:val="List Paragraph"/>
    <w:basedOn w:val="Normal"/>
    <w:uiPriority w:val="34"/>
    <w:semiHidden/>
    <w:qFormat/>
    <w:rsid w:val="00FC5AB2"/>
    <w:pPr>
      <w:ind w:left="720"/>
      <w:contextualSpacing/>
    </w:pPr>
  </w:style>
  <w:style w:type="paragraph" w:customStyle="1" w:styleId="Legal5L5">
    <w:name w:val="Legal5_L5"/>
    <w:basedOn w:val="Normal"/>
    <w:next w:val="Normal"/>
    <w:uiPriority w:val="99"/>
    <w:rsid w:val="00FE5972"/>
    <w:pPr>
      <w:numPr>
        <w:ilvl w:val="4"/>
        <w:numId w:val="7"/>
      </w:numPr>
      <w:tabs>
        <w:tab w:val="clear" w:pos="2880"/>
        <w:tab w:val="num" w:pos="720"/>
      </w:tabs>
      <w:spacing w:after="240"/>
      <w:ind w:left="720" w:hanging="720"/>
      <w:outlineLvl w:val="4"/>
    </w:pPr>
    <w:rPr>
      <w:rFonts w:eastAsia="Times New Roman"/>
      <w:sz w:val="22"/>
      <w:szCs w:val="22"/>
      <w:lang w:bidi="ar-SA"/>
    </w:rPr>
  </w:style>
  <w:style w:type="paragraph" w:customStyle="1" w:styleId="Legal5L1">
    <w:name w:val="Legal5_L1"/>
    <w:basedOn w:val="Normal"/>
    <w:next w:val="Normal"/>
    <w:rsid w:val="00D62A40"/>
    <w:pPr>
      <w:keepNext/>
      <w:tabs>
        <w:tab w:val="num" w:pos="720"/>
      </w:tabs>
      <w:spacing w:after="240" w:line="264" w:lineRule="auto"/>
      <w:ind w:left="720" w:hanging="720"/>
      <w:outlineLvl w:val="0"/>
    </w:pPr>
    <w:rPr>
      <w:rFonts w:eastAsia="Times New Roman"/>
      <w:b/>
      <w:sz w:val="22"/>
      <w:szCs w:val="22"/>
      <w:lang w:bidi="ar-SA"/>
    </w:rPr>
  </w:style>
  <w:style w:type="paragraph" w:customStyle="1" w:styleId="Legal5L2">
    <w:name w:val="Legal5_L2"/>
    <w:basedOn w:val="Legal5L1"/>
    <w:next w:val="Normal"/>
    <w:link w:val="Legal5L2Char"/>
    <w:rsid w:val="00D62A40"/>
    <w:pPr>
      <w:keepNext w:val="0"/>
      <w:ind w:left="0" w:firstLine="0"/>
      <w:outlineLvl w:val="1"/>
    </w:pPr>
    <w:rPr>
      <w:b w:val="0"/>
    </w:rPr>
  </w:style>
  <w:style w:type="character" w:customStyle="1" w:styleId="Legal5L2Char">
    <w:name w:val="Legal5_L2 Char"/>
    <w:basedOn w:val="BodyTextChar"/>
    <w:link w:val="Legal5L2"/>
    <w:rsid w:val="00D62A40"/>
    <w:rPr>
      <w:rFonts w:eastAsia="Times New Roman"/>
      <w:sz w:val="22"/>
      <w:szCs w:val="22"/>
      <w:lang w:bidi="ar-SA"/>
    </w:rPr>
  </w:style>
  <w:style w:type="paragraph" w:customStyle="1" w:styleId="Legal5L3">
    <w:name w:val="Legal5_L3"/>
    <w:basedOn w:val="Legal5L2"/>
    <w:next w:val="Normal"/>
    <w:link w:val="Legal5L3Char"/>
    <w:rsid w:val="00D62A40"/>
    <w:pPr>
      <w:tabs>
        <w:tab w:val="clear" w:pos="720"/>
        <w:tab w:val="num" w:pos="1440"/>
      </w:tabs>
      <w:ind w:left="720"/>
      <w:outlineLvl w:val="2"/>
    </w:pPr>
  </w:style>
  <w:style w:type="character" w:customStyle="1" w:styleId="Legal5L3Char">
    <w:name w:val="Legal5_L3 Char"/>
    <w:basedOn w:val="BodyTextChar"/>
    <w:link w:val="Legal5L3"/>
    <w:rsid w:val="00D62A40"/>
    <w:rPr>
      <w:rFonts w:eastAsia="Times New Roman"/>
      <w:sz w:val="22"/>
      <w:szCs w:val="22"/>
      <w:lang w:bidi="ar-SA"/>
    </w:rPr>
  </w:style>
  <w:style w:type="paragraph" w:customStyle="1" w:styleId="Legal5L4">
    <w:name w:val="Legal5_L4"/>
    <w:basedOn w:val="Legal5L3"/>
    <w:next w:val="Normal"/>
    <w:link w:val="Legal5L4Char"/>
    <w:rsid w:val="00D62A40"/>
    <w:pPr>
      <w:tabs>
        <w:tab w:val="clear" w:pos="1440"/>
        <w:tab w:val="num" w:pos="2160"/>
      </w:tabs>
      <w:ind w:left="1440"/>
      <w:outlineLvl w:val="3"/>
    </w:pPr>
  </w:style>
  <w:style w:type="character" w:customStyle="1" w:styleId="Legal5L4Char">
    <w:name w:val="Legal5_L4 Char"/>
    <w:basedOn w:val="BodyTextChar"/>
    <w:link w:val="Legal5L4"/>
    <w:rsid w:val="00D62A40"/>
    <w:rPr>
      <w:rFonts w:eastAsia="Times New Roman"/>
      <w:sz w:val="22"/>
      <w:szCs w:val="22"/>
      <w:lang w:bidi="ar-SA"/>
    </w:rPr>
  </w:style>
  <w:style w:type="character" w:styleId="CommentReference">
    <w:name w:val="annotation reference"/>
    <w:basedOn w:val="DefaultParagraphFont"/>
    <w:uiPriority w:val="99"/>
    <w:semiHidden/>
    <w:rsid w:val="00E26B73"/>
    <w:rPr>
      <w:sz w:val="16"/>
      <w:szCs w:val="16"/>
    </w:rPr>
  </w:style>
  <w:style w:type="paragraph" w:styleId="CommentText">
    <w:name w:val="annotation text"/>
    <w:basedOn w:val="Normal"/>
    <w:link w:val="CommentTextChar"/>
    <w:uiPriority w:val="99"/>
    <w:semiHidden/>
    <w:rsid w:val="00E26B73"/>
    <w:rPr>
      <w:sz w:val="20"/>
      <w:szCs w:val="20"/>
    </w:rPr>
  </w:style>
  <w:style w:type="character" w:customStyle="1" w:styleId="CommentTextChar">
    <w:name w:val="Comment Text Char"/>
    <w:basedOn w:val="DefaultParagraphFont"/>
    <w:link w:val="CommentText"/>
    <w:uiPriority w:val="99"/>
    <w:semiHidden/>
    <w:rsid w:val="00E26B73"/>
    <w:rPr>
      <w:sz w:val="20"/>
      <w:szCs w:val="20"/>
    </w:rPr>
  </w:style>
  <w:style w:type="paragraph" w:styleId="CommentSubject">
    <w:name w:val="annotation subject"/>
    <w:basedOn w:val="CommentText"/>
    <w:next w:val="CommentText"/>
    <w:link w:val="CommentSubjectChar"/>
    <w:uiPriority w:val="99"/>
    <w:semiHidden/>
    <w:rsid w:val="00E26B73"/>
    <w:rPr>
      <w:b/>
      <w:bCs/>
    </w:rPr>
  </w:style>
  <w:style w:type="character" w:customStyle="1" w:styleId="CommentSubjectChar">
    <w:name w:val="Comment Subject Char"/>
    <w:basedOn w:val="CommentTextChar"/>
    <w:link w:val="CommentSubject"/>
    <w:uiPriority w:val="99"/>
    <w:semiHidden/>
    <w:rsid w:val="00E26B73"/>
    <w:rPr>
      <w:b/>
      <w:bCs/>
      <w:sz w:val="20"/>
      <w:szCs w:val="20"/>
    </w:rPr>
  </w:style>
  <w:style w:type="character" w:styleId="SubtleEmphasis">
    <w:name w:val="Subtle Emphasis"/>
    <w:basedOn w:val="DefaultParagraphFont"/>
    <w:uiPriority w:val="19"/>
    <w:semiHidden/>
    <w:qFormat/>
    <w:rsid w:val="00533236"/>
    <w:rPr>
      <w:i/>
      <w:iCs/>
      <w:color w:val="404040" w:themeColor="text1" w:themeTint="BF"/>
    </w:rPr>
  </w:style>
  <w:style w:type="character" w:styleId="Emphasis">
    <w:name w:val="Emphasis"/>
    <w:basedOn w:val="DefaultParagraphFont"/>
    <w:uiPriority w:val="20"/>
    <w:semiHidden/>
    <w:qFormat/>
    <w:rsid w:val="00533236"/>
    <w:rPr>
      <w:i/>
      <w:iCs/>
    </w:rPr>
  </w:style>
  <w:style w:type="character" w:styleId="IntenseEmphasis">
    <w:name w:val="Intense Emphasis"/>
    <w:basedOn w:val="DefaultParagraphFont"/>
    <w:uiPriority w:val="21"/>
    <w:semiHidden/>
    <w:qFormat/>
    <w:rsid w:val="00533236"/>
    <w:rPr>
      <w:i/>
      <w:iCs/>
      <w:color w:val="4F81BD" w:themeColor="accent1"/>
    </w:rPr>
  </w:style>
  <w:style w:type="character" w:styleId="Strong">
    <w:name w:val="Strong"/>
    <w:basedOn w:val="DefaultParagraphFont"/>
    <w:uiPriority w:val="22"/>
    <w:semiHidden/>
    <w:qFormat/>
    <w:rsid w:val="00533236"/>
    <w:rPr>
      <w:b/>
      <w:bCs/>
    </w:rPr>
  </w:style>
  <w:style w:type="paragraph" w:styleId="Quote">
    <w:name w:val="Quote"/>
    <w:basedOn w:val="Normal"/>
    <w:next w:val="Normal"/>
    <w:link w:val="QuoteChar"/>
    <w:uiPriority w:val="29"/>
    <w:semiHidden/>
    <w:qFormat/>
    <w:rsid w:val="005332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3236"/>
    <w:rPr>
      <w:i/>
      <w:iCs/>
      <w:color w:val="404040" w:themeColor="text1" w:themeTint="BF"/>
    </w:rPr>
  </w:style>
  <w:style w:type="paragraph" w:styleId="IntenseQuote">
    <w:name w:val="Intense Quote"/>
    <w:basedOn w:val="Normal"/>
    <w:next w:val="Normal"/>
    <w:link w:val="IntenseQuoteChar"/>
    <w:uiPriority w:val="30"/>
    <w:semiHidden/>
    <w:qFormat/>
    <w:rsid w:val="005332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33236"/>
    <w:rPr>
      <w:i/>
      <w:iCs/>
      <w:color w:val="4F81BD" w:themeColor="accent1"/>
    </w:rPr>
  </w:style>
  <w:style w:type="character" w:styleId="SubtleReference">
    <w:name w:val="Subtle Reference"/>
    <w:basedOn w:val="DefaultParagraphFont"/>
    <w:uiPriority w:val="31"/>
    <w:semiHidden/>
    <w:qFormat/>
    <w:rsid w:val="00533236"/>
    <w:rPr>
      <w:smallCaps/>
      <w:color w:val="5A5A5A" w:themeColor="text1" w:themeTint="A5"/>
    </w:rPr>
  </w:style>
  <w:style w:type="character" w:styleId="IntenseReference">
    <w:name w:val="Intense Reference"/>
    <w:basedOn w:val="DefaultParagraphFont"/>
    <w:uiPriority w:val="32"/>
    <w:semiHidden/>
    <w:qFormat/>
    <w:rsid w:val="00533236"/>
    <w:rPr>
      <w:b/>
      <w:bCs/>
      <w:smallCaps/>
      <w:color w:val="4F81BD" w:themeColor="accent1"/>
      <w:spacing w:val="5"/>
    </w:rPr>
  </w:style>
  <w:style w:type="character" w:styleId="BookTitle">
    <w:name w:val="Book Title"/>
    <w:basedOn w:val="DefaultParagraphFont"/>
    <w:uiPriority w:val="33"/>
    <w:semiHidden/>
    <w:qFormat/>
    <w:rsid w:val="0053323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F468-F39B-4D16-9F5A-AE2A7800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5479</Words>
  <Characters>31233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1900-01-01T05:00:00Z</cp:lastPrinted>
  <dcterms:created xsi:type="dcterms:W3CDTF">2018-10-26T16:54:00Z</dcterms:created>
  <dcterms:modified xsi:type="dcterms:W3CDTF">2018-11-01T20:58:00Z</dcterms:modified>
</cp:coreProperties>
</file>